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Yesaya</w:t>
      </w:r>
      <w:r/>
    </w:p>
    <w:p>
      <w:r/>
      <w: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rPr>
        <w:t>ya!</w:t>
      </w:r>
      <w: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1"/>
      </w:pPr>
      <w:r>
        <w:t>Keadaan</w:t>
      </w:r>
    </w:p>
    <w:p>
      <w:r/>
      <w: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r/>
      <w:r>
        <w:t>Selama Raja Uziah dari Yehuda masih hidup, Yehuda mampu mengabaikan krisis tersebut. Secara keseluruhan, Uzia adalah raja yang baik dan efektif, dia memiliki tentara yang kuat (</w:t>
      </w:r>
      <w:hyperlink r:id="rId15">
        <w:r>
          <w:rPr>
            <w:color w:val="0000EE"/>
            <w:u w:val="single"/>
          </w:rPr>
          <w:t>2 Taw. 26:11–15</w:t>
        </w:r>
      </w:hyperlink>
      <w: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hyperlink r:id="rId16">
        <w:r>
          <w:rPr>
            <w:color w:val="0000EE"/>
            <w:u w:val="single"/>
          </w:rPr>
          <w:t>Yes. 6</w:t>
        </w:r>
      </w:hyperlink>
      <w:r>
        <w:t>).</w:t>
      </w:r>
    </w:p>
    <w:p>
      <w:r/>
      <w: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r/>
      <w: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hyperlink r:id="rId17">
        <w:r>
          <w:rPr>
            <w:color w:val="0000EE"/>
            <w:u w:val="single"/>
          </w:rPr>
          <w:t>2 Taw. 28:16–21</w:t>
        </w:r>
      </w:hyperlink>
      <w:r>
        <w:t>) daripada mempercayai Allah (</w:t>
      </w:r>
      <w:hyperlink r:id="rId18">
        <w:r>
          <w:rPr>
            <w:color w:val="0000EE"/>
            <w:u w:val="single"/>
          </w:rPr>
          <w:t>Yesaya 7:1–12</w:t>
        </w:r>
      </w:hyperlink>
      <w:r>
        <w:t>). Meskipun Raja Asyur berhasil mengalahkan Suriah dan Israel, dia juga menaklukkan Yehuda dan membebankan pajak yang berat. Dalam beberapa tahun kemudian (722 SM), Asyur kembali mengalahkan kerajaan Israel dan mengasingkan sebagian besar rakyatnya (</w:t>
      </w:r>
      <w:hyperlink r:id="rId19">
        <w:r>
          <w:rPr>
            <w:color w:val="0000EE"/>
            <w:u w:val="single"/>
          </w:rPr>
          <w:t>2 Rj.17:5–18</w:t>
        </w:r>
      </w:hyperlink>
      <w:r>
        <w:t>).</w:t>
      </w:r>
    </w:p>
    <w:p>
      <w:r/>
      <w:r>
        <w:t>Pada tahun 701 SM, pada masa pemerintahan Raja Hizkia, Asyur kembali menyerang Yehuda. Kali ini, Yehuda bersandar pada kesetiaan Allah, dan seperti yang dijanjikan, Allah menyelamatkan bangsa itu dari tentara Asyur (</w:t>
      </w:r>
      <w:hyperlink r:id="rId20">
        <w:r>
          <w:rPr>
            <w:color w:val="0000EE"/>
            <w:u w:val="single"/>
          </w:rPr>
          <w:t>37:21–36</w:t>
        </w:r>
      </w:hyperlink>
      <w:r>
        <w:t>).</w:t>
      </w:r>
    </w:p>
    <w:p>
      <w:r/>
      <w: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r/>
      <w:r>
        <w:t xml:space="preserve">Ketika kembali dari pembuangan (538 SM; lihat </w:t>
      </w:r>
      <w:hyperlink r:id="rId21">
        <w:r>
          <w:rPr>
            <w:color w:val="0000EE"/>
            <w:u w:val="single"/>
          </w:rPr>
          <w:t>Ezra 1:1–4</w:t>
        </w:r>
      </w:hyperlink>
      <w: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1"/>
      </w:pPr>
      <w:r>
        <w:t>Ringkasan</w:t>
      </w:r>
    </w:p>
    <w:p>
      <w:r/>
      <w:hyperlink r:id="rId22">
        <w:r>
          <w:rPr>
            <w:color w:val="0000EE"/>
            <w:u w:val="single"/>
          </w:rPr>
          <w:t>Yesaya 1–39</w:t>
        </w:r>
      </w:hyperlink>
      <w:r>
        <w:t xml:space="preserve"> menceritakan kisah dari kematian Uzia (740 SM) hingga 701 SM. Bagian pembuka (</w:t>
      </w:r>
      <w:hyperlink r:id="rId23">
        <w:r>
          <w:rPr>
            <w:color w:val="0000EE"/>
            <w:u w:val="single"/>
          </w:rPr>
          <w:t>pasal 1–5</w:t>
        </w:r>
      </w:hyperlink>
      <w: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hyperlink r:id="rId16">
        <w:r>
          <w:rPr>
            <w:color w:val="0000EE"/>
            <w:u w:val="single"/>
          </w:rPr>
          <w:t>pasal 6</w:t>
        </w:r>
      </w:hyperlink>
      <w: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hyperlink r:id="rId24">
        <w:r>
          <w:rPr>
            <w:color w:val="0000EE"/>
            <w:u w:val="single"/>
          </w:rPr>
          <w:t>13 sampai 35</w:t>
        </w:r>
      </w:hyperlink>
      <w: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hyperlink r:id="rId25">
        <w:r>
          <w:rPr>
            <w:color w:val="0000EE"/>
            <w:u w:val="single"/>
          </w:rPr>
          <w:t>pasal 7–12</w:t>
        </w:r>
      </w:hyperlink>
      <w:r>
        <w:t xml:space="preserve">, dan pengalaman Raja Hizkia di </w:t>
      </w:r>
      <w:hyperlink r:id="rId26">
        <w:r>
          <w:rPr>
            <w:color w:val="0000EE"/>
            <w:u w:val="single"/>
          </w:rPr>
          <w:t>pasal 36–39</w:t>
        </w:r>
      </w:hyperlink>
      <w:r>
        <w:t>. Ketika Ahas tidak percaya kepada Allah, malapetaka pun terjadi. Di sisi lain, putranya Hizkia percaya kepada Allah, dan terjadilah penyelamatan besar. Namun, Hizkia, juga memiliki masa-masa kelemahan (</w:t>
      </w:r>
      <w:hyperlink r:id="rId27">
        <w:r>
          <w:rPr>
            <w:color w:val="0000EE"/>
            <w:u w:val="single"/>
          </w:rPr>
          <w:t>pasal 39</w:t>
        </w:r>
      </w:hyperlink>
      <w:r>
        <w:t>), yang menjadi pijakan bagi kekalahan dan pembuangan Yehuda ke Babel di kemudian hari.</w:t>
      </w:r>
    </w:p>
    <w:p>
      <w:r/>
      <w:hyperlink r:id="rId28">
        <w:r>
          <w:rPr>
            <w:color w:val="0000EE"/>
            <w:u w:val="single"/>
          </w:rPr>
          <w:t>Yesaya 40–55</w:t>
        </w:r>
      </w:hyperlink>
      <w: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hyperlink r:id="rId29">
        <w:r>
          <w:rPr>
            <w:color w:val="0000EE"/>
            <w:u w:val="single"/>
          </w:rPr>
          <w:t>pasal 40–48</w:t>
        </w:r>
      </w:hyperlink>
      <w:r>
        <w:t xml:space="preserve">, Yesaya menunjukkan bahwa Allah jauh lebih berkuasa daripada berhala lainnya, dan umat-Nya akan menjadi bukti ketika Allah menyelamatkan mereka dari tangan Babel yang pada akhirnya tidak berdaya. Dalam </w:t>
      </w:r>
      <w:hyperlink r:id="rId30">
        <w:r>
          <w:rPr>
            <w:color w:val="0000EE"/>
            <w:u w:val="single"/>
          </w:rPr>
          <w:t>pasal 49–55</w:t>
        </w:r>
      </w:hyperlink>
      <w: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r/>
      <w:hyperlink r:id="rId31">
        <w:r>
          <w:rPr>
            <w:color w:val="0000EE"/>
            <w:u w:val="single"/>
          </w:rPr>
          <w:t>Yesaya 56–66</w:t>
        </w:r>
      </w:hyperlink>
      <w: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1"/>
      </w:pPr>
      <w:r>
        <w:t>Kepengarangan</w:t>
      </w:r>
    </w:p>
    <w:p>
      <w:r/>
      <w: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hyperlink r:id="rId32">
        <w:r>
          <w:rPr>
            <w:color w:val="0000EE"/>
            <w:u w:val="single"/>
          </w:rPr>
          <w:t>Mat 8:17</w:t>
        </w:r>
      </w:hyperlink>
      <w:r>
        <w:t xml:space="preserve">; </w:t>
      </w:r>
      <w:hyperlink r:id="rId33">
        <w:r>
          <w:rPr>
            <w:color w:val="0000EE"/>
            <w:u w:val="single"/>
          </w:rPr>
          <w:t>12:17–21</w:t>
        </w:r>
      </w:hyperlink>
      <w:r>
        <w:t xml:space="preserve">; </w:t>
      </w:r>
      <w:hyperlink r:id="rId34">
        <w:r>
          <w:rPr>
            <w:color w:val="0000EE"/>
            <w:u w:val="single"/>
          </w:rPr>
          <w:t>Luk 3:4–6</w:t>
        </w:r>
      </w:hyperlink>
      <w:r>
        <w:t xml:space="preserve">; </w:t>
      </w:r>
      <w:hyperlink r:id="rId35">
        <w:r>
          <w:rPr>
            <w:color w:val="0000EE"/>
            <w:u w:val="single"/>
          </w:rPr>
          <w:t>Kisah Para Rasul 8:28–35</w:t>
        </w:r>
      </w:hyperlink>
      <w:r>
        <w:t xml:space="preserve">; </w:t>
      </w:r>
      <w:hyperlink r:id="rId36">
        <w:r>
          <w:rPr>
            <w:color w:val="0000EE"/>
            <w:u w:val="single"/>
          </w:rPr>
          <w:t>Rom 10:16</w:t>
        </w:r>
      </w:hyperlink>
      <w:r>
        <w:t>).</w:t>
      </w:r>
    </w:p>
    <w:p>
      <w:pPr>
        <w:pStyle w:val="Heading1"/>
      </w:pPr>
      <w:r>
        <w:t>Tanggal Penulisan</w:t>
      </w:r>
    </w:p>
    <w:p>
      <w:r/>
      <w:r>
        <w:t xml:space="preserve">Berdasarkan referensi sejarah dalam pasal </w:t>
      </w:r>
      <w:hyperlink r:id="rId37">
        <w:r>
          <w:rPr>
            <w:color w:val="0000EE"/>
            <w:u w:val="single"/>
          </w:rPr>
          <w:t>6–39</w:t>
        </w:r>
      </w:hyperlink>
      <w: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hyperlink r:id="rId38">
        <w:r>
          <w:rPr>
            <w:color w:val="0000EE"/>
            <w:u w:val="single"/>
          </w:rPr>
          <w:t>pasal 40–66</w:t>
        </w:r>
      </w:hyperlink>
      <w: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hyperlink r:id="rId22">
        <w:r>
          <w:rPr>
            <w:color w:val="0000EE"/>
            <w:u w:val="single"/>
          </w:rPr>
          <w:t>pasal 1–39</w:t>
        </w:r>
      </w:hyperlink>
      <w:r>
        <w:t xml:space="preserve"> dan penulisan </w:t>
      </w:r>
      <w:hyperlink r:id="rId38">
        <w:r>
          <w:rPr>
            <w:color w:val="0000EE"/>
            <w:u w:val="single"/>
          </w:rPr>
          <w:t>pasal 40–66</w:t>
        </w:r>
      </w:hyperlink>
      <w:r>
        <w:t>.</w:t>
      </w:r>
    </w:p>
    <w:p>
      <w:pPr>
        <w:pStyle w:val="Heading1"/>
      </w:pPr>
      <w:r>
        <w:t>Jenis Kesastraan</w:t>
      </w:r>
    </w:p>
    <w:p>
      <w:r/>
      <w:r>
        <w:t>Yesaya mengandung berbagai macam sub-genre yang kaya:</w:t>
      </w:r>
    </w:p>
    <w:p>
      <w:pPr>
        <w:pStyle w:val="ListBullet"/>
        <w:spacing w:line="240" w:lineRule="auto"/>
        <w:ind w:left="720"/>
      </w:pPr>
      <w:r/>
      <w:r>
        <w:t>ucapan penghakiman yang memperingatkan Israel bahwa Allah akan menghukum mereka atas dosa-dosa mereka (</w:t>
      </w:r>
      <w:hyperlink r:id="rId39">
        <w:r>
          <w:rPr>
            <w:color w:val="0000EE"/>
            <w:u w:val="single"/>
          </w:rPr>
          <w:t>9:8–21</w:t>
        </w:r>
      </w:hyperlink>
      <w:r>
        <w:t>);</w:t>
      </w:r>
    </w:p>
    <w:p>
      <w:pPr>
        <w:pStyle w:val="ListBullet"/>
        <w:spacing w:line="240" w:lineRule="auto"/>
        <w:ind w:left="720"/>
      </w:pPr>
      <w:r/>
      <w:r>
        <w:t>nubuat celaka yang meratapi kematian bangsa yang akan datang (</w:t>
      </w:r>
      <w:hyperlink r:id="rId40">
        <w:r>
          <w:rPr>
            <w:color w:val="0000EE"/>
            <w:u w:val="single"/>
          </w:rPr>
          <w:t>5:8–30</w:t>
        </w:r>
      </w:hyperlink>
      <w:r>
        <w:t xml:space="preserve">; </w:t>
      </w:r>
      <w:hyperlink r:id="rId41">
        <w:r>
          <w:rPr>
            <w:color w:val="0000EE"/>
            <w:u w:val="single"/>
          </w:rPr>
          <w:t>29:1–12</w:t>
        </w:r>
      </w:hyperlink>
      <w:r>
        <w:t xml:space="preserve">; </w:t>
      </w:r>
      <w:hyperlink r:id="rId42">
        <w:r>
          <w:rPr>
            <w:color w:val="0000EE"/>
            <w:u w:val="single"/>
          </w:rPr>
          <w:t>31:1–9</w:t>
        </w:r>
      </w:hyperlink>
      <w:r>
        <w:t>);</w:t>
      </w:r>
    </w:p>
    <w:p>
      <w:pPr>
        <w:pStyle w:val="ListBullet"/>
        <w:spacing w:line="240" w:lineRule="auto"/>
        <w:ind w:left="720"/>
      </w:pPr>
      <w:r/>
      <w:r>
        <w:t>perumpamaan yang diajarkan dengan analogi (</w:t>
      </w:r>
      <w:hyperlink r:id="rId43">
        <w:r>
          <w:rPr>
            <w:color w:val="0000EE"/>
            <w:u w:val="single"/>
          </w:rPr>
          <w:t>5:1–8</w:t>
        </w:r>
      </w:hyperlink>
      <w:r>
        <w:t xml:space="preserve">; </w:t>
      </w:r>
      <w:hyperlink r:id="rId44">
        <w:r>
          <w:rPr>
            <w:color w:val="0000EE"/>
            <w:u w:val="single"/>
          </w:rPr>
          <w:t>27:2–6</w:t>
        </w:r>
      </w:hyperlink>
      <w:r>
        <w:t>);</w:t>
      </w:r>
    </w:p>
    <w:p>
      <w:pPr>
        <w:pStyle w:val="ListBullet"/>
        <w:spacing w:line="240" w:lineRule="auto"/>
        <w:ind w:left="720"/>
      </w:pPr>
      <w:r/>
      <w:r>
        <w:t>pidato pengadilan untuk membuktikan suatu kasus (</w:t>
      </w:r>
      <w:hyperlink r:id="rId45">
        <w:r>
          <w:rPr>
            <w:color w:val="0000EE"/>
            <w:u w:val="single"/>
          </w:rPr>
          <w:t>41:21–29</w:t>
        </w:r>
      </w:hyperlink>
      <w:r>
        <w:t>);</w:t>
      </w:r>
    </w:p>
    <w:p>
      <w:pPr>
        <w:pStyle w:val="ListBullet"/>
        <w:spacing w:line="240" w:lineRule="auto"/>
        <w:ind w:left="720"/>
      </w:pPr>
      <w:r/>
      <w:r>
        <w:t>nubuat keselamatan yang berisi harapan untuk masa depan (</w:t>
      </w:r>
      <w:hyperlink r:id="rId46">
        <w:r>
          <w:rPr>
            <w:color w:val="0000EE"/>
            <w:u w:val="single"/>
          </w:rPr>
          <w:t>2:1–5</w:t>
        </w:r>
      </w:hyperlink>
      <w:r>
        <w:t xml:space="preserve">; </w:t>
      </w:r>
      <w:hyperlink r:id="rId47">
        <w:r>
          <w:rPr>
            <w:color w:val="0000EE"/>
            <w:u w:val="single"/>
          </w:rPr>
          <w:t>32:1–20</w:t>
        </w:r>
      </w:hyperlink>
      <w:r>
        <w:t xml:space="preserve">; </w:t>
      </w:r>
      <w:hyperlink r:id="rId48">
        <w:r>
          <w:rPr>
            <w:color w:val="0000EE"/>
            <w:u w:val="single"/>
          </w:rPr>
          <w:t>60:1–22</w:t>
        </w:r>
      </w:hyperlink>
      <w:r>
        <w:t>);</w:t>
      </w:r>
    </w:p>
    <w:p>
      <w:pPr>
        <w:pStyle w:val="ListBullet"/>
        <w:spacing w:line="240" w:lineRule="auto"/>
        <w:ind w:left="720"/>
      </w:pPr>
      <w:r/>
      <w:r>
        <w:t>nyanyian pujian kepada Allah atas kesetiaan-Nya (</w:t>
      </w:r>
      <w:hyperlink r:id="rId49">
        <w:r>
          <w:rPr>
            <w:color w:val="0000EE"/>
            <w:u w:val="single"/>
          </w:rPr>
          <w:t>12:1–6</w:t>
        </w:r>
      </w:hyperlink>
      <w:r>
        <w:t xml:space="preserve">; </w:t>
      </w:r>
      <w:hyperlink r:id="rId50">
        <w:r>
          <w:rPr>
            <w:color w:val="0000EE"/>
            <w:u w:val="single"/>
          </w:rPr>
          <w:t>26:1–6</w:t>
        </w:r>
      </w:hyperlink>
      <w:r>
        <w:t>);</w:t>
      </w:r>
    </w:p>
    <w:p>
      <w:pPr>
        <w:pStyle w:val="ListBullet"/>
        <w:spacing w:line="240" w:lineRule="auto"/>
        <w:ind w:left="720"/>
      </w:pPr>
      <w:r/>
      <w:r>
        <w:t>nubuat terhadap bangsa-bangsa asing (</w:t>
      </w:r>
      <w:hyperlink r:id="rId51">
        <w:r>
          <w:rPr>
            <w:color w:val="0000EE"/>
            <w:u w:val="single"/>
          </w:rPr>
          <w:t>15:1–16:14</w:t>
        </w:r>
      </w:hyperlink>
      <w:r>
        <w:t xml:space="preserve">; </w:t>
      </w:r>
      <w:hyperlink r:id="rId52">
        <w:r>
          <w:rPr>
            <w:color w:val="0000EE"/>
            <w:u w:val="single"/>
          </w:rPr>
          <w:t>23:1–18</w:t>
        </w:r>
      </w:hyperlink>
      <w:r>
        <w:t>);</w:t>
      </w:r>
    </w:p>
    <w:p>
      <w:pPr>
        <w:pStyle w:val="ListBullet"/>
        <w:spacing w:line="240" w:lineRule="auto"/>
        <w:ind w:left="720"/>
      </w:pPr>
      <w:r/>
      <w:r>
        <w:t>nubuat tentang kedatangan seorang raja, yaitu Mesias (</w:t>
      </w:r>
      <w:hyperlink r:id="rId53">
        <w:r>
          <w:rPr>
            <w:color w:val="0000EE"/>
            <w:u w:val="single"/>
          </w:rPr>
          <w:t>9:1–7</w:t>
        </w:r>
      </w:hyperlink>
      <w:r>
        <w:t xml:space="preserve">; </w:t>
      </w:r>
      <w:hyperlink r:id="rId54">
        <w:r>
          <w:rPr>
            <w:color w:val="0000EE"/>
            <w:u w:val="single"/>
          </w:rPr>
          <w:t>11:1–9</w:t>
        </w:r>
      </w:hyperlink>
      <w:r>
        <w:t>);</w:t>
      </w:r>
    </w:p>
    <w:p>
      <w:pPr>
        <w:pStyle w:val="ListBullet"/>
        <w:spacing w:line="240" w:lineRule="auto"/>
        <w:ind w:left="720"/>
      </w:pPr>
      <w:r/>
      <w:r>
        <w:t>nyanyian hamba tentang seseorang yang akan menderita untuk dosa orang lain (</w:t>
      </w:r>
      <w:hyperlink r:id="rId55">
        <w:r>
          <w:rPr>
            <w:color w:val="0000EE"/>
            <w:u w:val="single"/>
          </w:rPr>
          <w:t>42:1–9</w:t>
        </w:r>
      </w:hyperlink>
      <w:r>
        <w:t xml:space="preserve">; </w:t>
      </w:r>
      <w:hyperlink r:id="rId56">
        <w:r>
          <w:rPr>
            <w:color w:val="0000EE"/>
            <w:u w:val="single"/>
          </w:rPr>
          <w:t>52:13–53:12</w:t>
        </w:r>
      </w:hyperlink>
      <w:r>
        <w:t>); dan</w:t>
      </w:r>
    </w:p>
    <w:p>
      <w:pPr>
        <w:pStyle w:val="ListBullet"/>
        <w:spacing w:line="240" w:lineRule="auto"/>
        <w:ind w:left="720"/>
      </w:pPr>
      <w:r/>
      <w:r>
        <w:t>kisah tentang peristiwa yang sedang terjadi pada saat itu (</w:t>
      </w:r>
      <w:hyperlink r:id="rId57">
        <w:r>
          <w:rPr>
            <w:color w:val="0000EE"/>
            <w:u w:val="single"/>
          </w:rPr>
          <w:t>36:1–22</w:t>
        </w:r>
      </w:hyperlink>
      <w:r>
        <w:t xml:space="preserve">; </w:t>
      </w:r>
      <w:hyperlink r:id="rId27">
        <w:r>
          <w:rPr>
            <w:color w:val="0000EE"/>
            <w:u w:val="single"/>
          </w:rPr>
          <w:t>39:1–8</w:t>
        </w:r>
      </w:hyperlink>
      <w:r>
        <w:t>).</w:t>
      </w:r>
    </w:p>
    <w:p>
      <w:pPr>
        <w:pStyle w:val="Heading1"/>
      </w:pPr>
      <w:r>
        <w:t>Makna dan Pesan</w:t>
      </w:r>
    </w:p>
    <w:p>
      <w:r/>
      <w:r>
        <w:t xml:space="preserve">Kitab Yesaya dapat disebut sebagai miniatur Alkitab. Kitab ini memiliki lebih banyak makna dari Perjanjian Baru dibandingkan kitab mana pun dalam Perjanjian Lama. Yesaya memberi kita gambaran tentang Allah yang unik dan </w:t>
      </w:r>
      <w:r>
        <w:rPr>
          <w:i/>
        </w:rPr>
        <w:t>transenden</w:t>
      </w:r>
      <w:r>
        <w:t xml:space="preserve"> (melampaui pengalaman kita). Namun, Allah yang kudus dan mulia menyatakan diri-Nya dan ingin menjadi </w:t>
      </w:r>
      <w:r>
        <w:rPr>
          <w:i/>
        </w:rPr>
        <w:t>Immanuel</w:t>
      </w:r>
      <w:r>
        <w:t xml:space="preserve"> ("Tuhan yang menyertai kita," </w:t>
      </w:r>
      <w:hyperlink r:id="rId58">
        <w:r>
          <w:rPr>
            <w:color w:val="0000EE"/>
            <w:u w:val="single"/>
          </w:rPr>
          <w:t>7:14</w:t>
        </w:r>
      </w:hyperlink>
      <w:r>
        <w:t xml:space="preserve">). Oleh karena itu, Allah yang transenden juga </w:t>
      </w:r>
      <w:r>
        <w:rPr>
          <w:i/>
        </w:rPr>
        <w:t>imanen</w:t>
      </w:r>
      <w:r>
        <w:t xml:space="preserve"> (dekat). Kedekatan Allah mempersiapkan para pembaca Yesaya untuk menerima </w:t>
      </w:r>
      <w:r>
        <w:rPr>
          <w:i/>
        </w:rPr>
        <w:t>inkarnasi</w:t>
      </w:r>
      <w:r>
        <w:t xml:space="preserve"> Allah (dalam daging), Yesus Kristus, yang sungguh-sungguh adalah Immanuel (lihat Mat. </w:t>
      </w:r>
      <w:hyperlink r:id="rId59">
        <w:r>
          <w:rPr>
            <w:color w:val="0000EE"/>
            <w:u w:val="single"/>
          </w:rPr>
          <w:t>1:21–23</w:t>
        </w:r>
      </w:hyperlink>
      <w:r>
        <w:t>).</w:t>
      </w:r>
    </w:p>
    <w:p>
      <w:r/>
      <w: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r/>
      <w: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r/>
      <w: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