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Songs</w:t>
      </w:r>
      <w:r/>
    </w:p>
    <w:p>
      <w:r/>
      <w: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1"/>
      </w:pPr>
      <w:r>
        <w:t>Cenário</w:t>
      </w:r>
    </w:p>
    <w:p>
      <w:r/>
      <w: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r/>
      <w:r>
        <w:t>Cantares está associado com Salomão, o filho de Davi e o terceiro rei de Israel (veja “</w:t>
      </w:r>
      <w:r>
        <w:t>Autoria</w:t>
      </w:r>
      <w:r>
        <w:t xml:space="preserve">” abaixo; veja também </w:t>
      </w:r>
      <w:hyperlink r:id="rId15">
        <w:r>
          <w:rPr>
            <w:color w:val="0000EE"/>
            <w:u w:val="single"/>
          </w:rPr>
          <w:t>1.1</w:t>
        </w:r>
      </w:hyperlink>
      <w:r>
        <w:t>). Salomão também é mencionado em alguns dos poemas, tanto de maneira negativa quanto positiva. A motivação do autor era aparentemente celebrar a boa dádiva de Deus do amor e da sexualidade.</w:t>
      </w:r>
    </w:p>
    <w:p>
      <w:pPr>
        <w:pStyle w:val="Heading1"/>
      </w:pPr>
      <w:r>
        <w:t>Autoria</w:t>
      </w:r>
    </w:p>
    <w:p>
      <w:r/>
      <w:r>
        <w:t>O sobrescrito (primeira linha de texto) denomina a obra, literalmente, de “Cantares de Salomão”. Muitos tomam isso como significando que Salomão escreveu o livro em sua totalidade.</w:t>
      </w:r>
    </w:p>
    <w:p>
      <w:r/>
      <w: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r/>
      <w:r>
        <w:t>Outro problema em aceitar Salomão como único autor é que ele não era um bom exemplo de amor piedoso — foi precisamente seu amor por muitas mulheres estrangeiras que o levou para longe do Senhor (</w:t>
      </w:r>
      <w:hyperlink r:id="rId16">
        <w:r>
          <w:rPr>
            <w:color w:val="0000EE"/>
            <w:u w:val="single"/>
          </w:rPr>
          <w:t>1Rs 11.1–13</w:t>
        </w:r>
      </w:hyperlink>
      <w:r>
        <w:t xml:space="preserve">). Na verdade, a única referência positiva a Salomão em Cantares está em </w:t>
      </w:r>
      <w:hyperlink r:id="rId17">
        <w:r>
          <w:rPr>
            <w:color w:val="0000EE"/>
            <w:u w:val="single"/>
          </w:rPr>
          <w:t>Ct 3.6–11</w:t>
        </w:r>
      </w:hyperlink>
      <w:r>
        <w:t xml:space="preserve">; enquanto isso, </w:t>
      </w:r>
      <w:hyperlink r:id="rId18">
        <w:r>
          <w:rPr>
            <w:color w:val="0000EE"/>
            <w:u w:val="single"/>
          </w:rPr>
          <w:t>8.11–12</w:t>
        </w:r>
      </w:hyperlink>
      <w:r>
        <w:t xml:space="preserve"> o apresenta negativamente e </w:t>
      </w:r>
      <w:hyperlink r:id="rId19">
        <w:r>
          <w:rPr>
            <w:color w:val="0000EE"/>
            <w:u w:val="single"/>
          </w:rPr>
          <w:t>1.5</w:t>
        </w:r>
      </w:hyperlink>
      <w: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1"/>
      </w:pPr>
      <w:r>
        <w:t>Interpretando Cantares</w:t>
      </w:r>
    </w:p>
    <w:p>
      <w:r/>
      <w: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r/>
      <w: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r/>
      <w: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r/>
      <w: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r/>
      <w:r>
        <w:t>Além disso, a arqueologia recuperou muita coisa sobre as antigas civilizações do Egito e da Mesopotâmia. O Egito produziu poesia de amor semelhante à Cantares que só poderia ser entendida como poesia de amor humano.</w:t>
      </w:r>
    </w:p>
    <w:p>
      <w:r/>
      <w: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r/>
      <w: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r/>
      <w:r>
        <w:t>As principais desvantagens da perspectiva dramática são: (1) Não há narrador para guiar a leitura da história, e (2) há muitas histórias diferentes possíveis, e cada intérprete parece ver uma diferente.</w:t>
      </w:r>
    </w:p>
    <w:p>
      <w:r/>
      <w: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r/>
      <w:r>
        <w:t>Se houve uma mulher favorecida na vida de Salomão, as Escrituras sugerem que foi a filha de Faraó, com quem ele se casou muito cedo (</w:t>
      </w:r>
      <w:hyperlink r:id="rId20">
        <w:r>
          <w:rPr>
            <w:color w:val="0000EE"/>
            <w:u w:val="single"/>
          </w:rPr>
          <w:t>1Rs 3.1</w:t>
        </w:r>
      </w:hyperlink>
      <w:r>
        <w:t xml:space="preserve">; </w:t>
      </w:r>
      <w:hyperlink r:id="rId21">
        <w:r>
          <w:rPr>
            <w:color w:val="0000EE"/>
            <w:u w:val="single"/>
          </w:rPr>
          <w:t>7.8</w:t>
        </w:r>
      </w:hyperlink>
      <w:r>
        <w:t xml:space="preserve">; </w:t>
      </w:r>
      <w:hyperlink r:id="rId22">
        <w:r>
          <w:rPr>
            <w:color w:val="0000EE"/>
            <w:u w:val="single"/>
          </w:rPr>
          <w:t>9.24</w:t>
        </w:r>
      </w:hyperlink>
      <w:r>
        <w:t xml:space="preserve">; </w:t>
      </w:r>
      <w:hyperlink r:id="rId23">
        <w:r>
          <w:rPr>
            <w:color w:val="0000EE"/>
            <w:u w:val="single"/>
          </w:rPr>
          <w:t>11.1</w:t>
        </w:r>
      </w:hyperlink>
      <w:r>
        <w:t xml:space="preserve">), não a mulher que trabalhava dos rebanhos e vinhas do rei retratada em Cantares. Além disso, esta canção de amor verdadeiro não é muito crível se a mulher fosse uma das muitas mulheres de Salomão mencionadas em </w:t>
      </w:r>
      <w:hyperlink r:id="rId24">
        <w:r>
          <w:rPr>
            <w:color w:val="0000EE"/>
            <w:u w:val="single"/>
          </w:rPr>
          <w:t>Ct 6.8</w:t>
        </w:r>
      </w:hyperlink>
      <w:r>
        <w:t>. Em outras palavras, se este romance entre Salomão e a mulher era de tal sinceridade profunda, por que Salomão adicionou centenas de outras mulheres ao seu harém?</w:t>
      </w:r>
    </w:p>
    <w:p>
      <w:r/>
      <w: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hyperlink r:id="rId18">
        <w:r>
          <w:rPr>
            <w:color w:val="0000EE"/>
            <w:u w:val="single"/>
          </w:rPr>
          <w:t>8.11–12</w:t>
        </w:r>
      </w:hyperlink>
      <w:r>
        <w:t>). Ela é incapaz de pagar porque seus irmãos zangados a forçaram a tomar conta de vinhas que não eram suas (</w:t>
      </w:r>
      <w:hyperlink r:id="rId25">
        <w:r>
          <w:rPr>
            <w:color w:val="0000EE"/>
            <w:u w:val="single"/>
          </w:rPr>
          <w:t>1.6</w:t>
        </w:r>
      </w:hyperlink>
      <w:r>
        <w:t>). Então, mesmo que ela esteja na presença muito próxima e potencialmente íntima do rei no palácio da cidade (</w:t>
      </w:r>
      <w:hyperlink r:id="rId26">
        <w:r>
          <w:rPr>
            <w:color w:val="0000EE"/>
            <w:u w:val="single"/>
          </w:rPr>
          <w:t>1.12</w:t>
        </w:r>
      </w:hyperlink>
      <w:r>
        <w:t>), seus pensamentos passionais são definidos atentamente em seu amor por um pastor comum no campo (</w:t>
      </w:r>
      <w:hyperlink r:id="rId27">
        <w:r>
          <w:rPr>
            <w:color w:val="0000EE"/>
            <w:u w:val="single"/>
          </w:rPr>
          <w:t>1.7</w:t>
        </w:r>
      </w:hyperlink>
      <w: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hyperlink r:id="rId28">
        <w:r>
          <w:rPr>
            <w:color w:val="0000EE"/>
            <w:u w:val="single"/>
          </w:rPr>
          <w:t>8.12–14</w:t>
        </w:r>
      </w:hyperlink>
      <w:r>
        <w:t>).</w:t>
      </w:r>
    </w:p>
    <w:p>
      <w:r/>
      <w: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r/>
      <w:r>
        <w:t>Desta perspectiva, Cantares é composto de cerca de vinte poemas de amor que estão unidos pela consistência de personagens, refrões, imagens repetidas e outros elementos de poesia.</w:t>
      </w:r>
    </w:p>
    <w:p>
      <w:r/>
      <w: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r/>
      <w: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1"/>
      </w:pPr>
      <w:r>
        <w:t>Casamento em Cantares</w:t>
      </w:r>
    </w:p>
    <w:p>
      <w:r/>
      <w: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hyperlink r:id="rId29">
        <w:r>
          <w:rPr>
            <w:color w:val="0000EE"/>
            <w:u w:val="single"/>
          </w:rPr>
          <w:t>4.8–12</w:t>
        </w:r>
      </w:hyperlink>
      <w:r>
        <w:t>).</w:t>
      </w:r>
    </w:p>
    <w:p>
      <w:r/>
      <w: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hyperlink r:id="rId30">
        <w:r>
          <w:rPr>
            <w:color w:val="0000EE"/>
            <w:u w:val="single"/>
          </w:rPr>
          <w:t>Gn 39</w:t>
        </w:r>
      </w:hyperlink>
      <w:r>
        <w:t xml:space="preserve">), lei (veja </w:t>
      </w:r>
      <w:hyperlink r:id="rId31">
        <w:r>
          <w:rPr>
            <w:color w:val="0000EE"/>
            <w:u w:val="single"/>
          </w:rPr>
          <w:t>Êx 20.14</w:t>
        </w:r>
      </w:hyperlink>
      <w:r>
        <w:t xml:space="preserve">) e literatura de sabedoria (veja </w:t>
      </w:r>
      <w:hyperlink r:id="rId32">
        <w:r>
          <w:rPr>
            <w:color w:val="0000EE"/>
            <w:u w:val="single"/>
          </w:rPr>
          <w:t>Pv 5–7</w:t>
        </w:r>
      </w:hyperlink>
      <w: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1"/>
      </w:pPr>
      <w:r>
        <w:t>Significado e mensagem</w:t>
      </w:r>
    </w:p>
    <w:p>
      <w:r/>
      <w: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r/>
      <w: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r/>
      <w: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