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Lamentações</w:t>
      </w:r>
      <w:r/>
    </w:p>
    <w:p>
      <w:r/>
      <w: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1"/>
      </w:pPr>
      <w:r>
        <w:t>Contexto</w:t>
      </w:r>
    </w:p>
    <w:p>
      <w:r/>
      <w: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1"/>
      </w:pPr>
      <w:r>
        <w:t>Sumário</w:t>
      </w:r>
    </w:p>
    <w:p>
      <w:r/>
      <w:r>
        <w:t>O livro de Lamentações é uma coleção de cinco poemas altamente estruturados e emocionalmente impactantes que lamentam a destruição de Jerusalém.</w:t>
      </w:r>
    </w:p>
    <w:p>
      <w:r/>
      <w:hyperlink r:id="rId15">
        <w:r>
          <w:rPr>
            <w:color w:val="0000EE"/>
            <w:u w:val="single"/>
          </w:rPr>
          <w:t>Capítulo 1</w:t>
        </w:r>
      </w:hyperlink>
      <w: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r/>
      <w:hyperlink r:id="rId16">
        <w:r>
          <w:rPr>
            <w:color w:val="0000EE"/>
            <w:u w:val="single"/>
          </w:rPr>
          <w:t>Capítulo 2</w:t>
        </w:r>
      </w:hyperlink>
      <w: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r/>
      <w:hyperlink r:id="rId17">
        <w:r>
          <w:rPr>
            <w:color w:val="0000EE"/>
            <w:u w:val="single"/>
          </w:rPr>
          <w:t>Capítulo 3</w:t>
        </w:r>
      </w:hyperlink>
      <w: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r/>
      <w:hyperlink r:id="rId18">
        <w:r>
          <w:rPr>
            <w:color w:val="0000EE"/>
            <w:u w:val="single"/>
          </w:rPr>
          <w:t>Capítulo 4</w:t>
        </w:r>
      </w:hyperlink>
      <w: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r/>
      <w:hyperlink r:id="rId19">
        <w:r>
          <w:rPr>
            <w:color w:val="0000EE"/>
            <w:u w:val="single"/>
          </w:rPr>
          <w:t>Capítulo 5</w:t>
        </w:r>
      </w:hyperlink>
      <w:r>
        <w:t xml:space="preserve"> é uma oração que pede a Deus para considerar cuidadosamente a situação do povo. Termina com um apelo por salvação, caso ela ainda esteja disponível.</w:t>
      </w:r>
    </w:p>
    <w:p>
      <w:r/>
      <w:r>
        <w:t xml:space="preserve">Os primeiros quatro desses poemas são acrósticos baseados nas vinte e duas letras do alfabeto hebraico, com cada estrofe sucessiva começando com a próxima letra (uma característica que se perde na tradução). </w:t>
      </w:r>
      <w:hyperlink r:id="rId19">
        <w:r>
          <w:rPr>
            <w:color w:val="0000EE"/>
            <w:u w:val="single"/>
          </w:rPr>
          <w:t>Capítulo 5</w:t>
        </w:r>
      </w:hyperlink>
      <w: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1"/>
      </w:pPr>
      <w:r>
        <w:t>Autoria</w:t>
      </w:r>
    </w:p>
    <w:p>
      <w:r/>
      <w: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20">
        <w:r>
          <w:rPr>
            <w:color w:val="0000EE"/>
            <w:u w:val="single"/>
          </w:rPr>
          <w:t>2Cr 35.25</w:t>
        </w:r>
      </w:hyperlink>
      <w:r>
        <w:t>). O autor de Lamentações expressa livremente suas emoções, assim como Jeremias no livro que leva seu nome, e ambos os livros refletem sobre o futuro da nação.</w:t>
      </w:r>
    </w:p>
    <w:p>
      <w:r/>
      <w:r>
        <w:t>Existem várias outras semelhanças entre os livros de Jeremias e Lamentações. Compare o tratamento dos seguintes temas: viúvas aflitas (</w:t>
      </w:r>
      <w:hyperlink r:id="rId21">
        <w:r>
          <w:rPr>
            <w:color w:val="0000EE"/>
            <w:u w:val="single"/>
          </w:rPr>
          <w:t>1.1</w:t>
        </w:r>
      </w:hyperlink>
      <w:r>
        <w:t xml:space="preserve">; </w:t>
      </w:r>
      <w:hyperlink r:id="rId22">
        <w:r>
          <w:rPr>
            <w:color w:val="0000EE"/>
            <w:u w:val="single"/>
          </w:rPr>
          <w:t>5.3</w:t>
        </w:r>
      </w:hyperlink>
      <w:r>
        <w:t xml:space="preserve">; cp. </w:t>
      </w:r>
      <w:hyperlink r:id="rId23">
        <w:r>
          <w:rPr>
            <w:color w:val="0000EE"/>
            <w:u w:val="single"/>
          </w:rPr>
          <w:t>Jr 15.8</w:t>
        </w:r>
      </w:hyperlink>
      <w:r>
        <w:t xml:space="preserve">; </w:t>
      </w:r>
      <w:hyperlink r:id="rId24">
        <w:r>
          <w:rPr>
            <w:color w:val="0000EE"/>
            <w:u w:val="single"/>
          </w:rPr>
          <w:t>18.21</w:t>
        </w:r>
      </w:hyperlink>
      <w:r>
        <w:t>); povo chorando (</w:t>
      </w:r>
      <w:hyperlink r:id="rId25">
        <w:r>
          <w:rPr>
            <w:color w:val="0000EE"/>
            <w:u w:val="single"/>
          </w:rPr>
          <w:t>1.2</w:t>
        </w:r>
      </w:hyperlink>
      <w:r>
        <w:t>,</w:t>
      </w:r>
      <w:hyperlink r:id="rId26">
        <w:r>
          <w:rPr>
            <w:color w:val="0000EE"/>
            <w:u w:val="single"/>
          </w:rPr>
          <w:t>16</w:t>
        </w:r>
      </w:hyperlink>
      <w:r>
        <w:t xml:space="preserve">; </w:t>
      </w:r>
      <w:hyperlink r:id="rId27">
        <w:r>
          <w:rPr>
            <w:color w:val="0000EE"/>
            <w:u w:val="single"/>
          </w:rPr>
          <w:t>2.18</w:t>
        </w:r>
      </w:hyperlink>
      <w:r>
        <w:t xml:space="preserve">; </w:t>
      </w:r>
      <w:hyperlink r:id="rId28">
        <w:r>
          <w:rPr>
            <w:color w:val="0000EE"/>
            <w:u w:val="single"/>
          </w:rPr>
          <w:t>3.48–49</w:t>
        </w:r>
      </w:hyperlink>
      <w:r>
        <w:t xml:space="preserve">; cp. </w:t>
      </w:r>
      <w:hyperlink r:id="rId29">
        <w:r>
          <w:rPr>
            <w:color w:val="0000EE"/>
            <w:u w:val="single"/>
          </w:rPr>
          <w:t>Jr 4.8</w:t>
        </w:r>
      </w:hyperlink>
      <w:r>
        <w:t xml:space="preserve">; </w:t>
      </w:r>
      <w:hyperlink r:id="rId30">
        <w:r>
          <w:rPr>
            <w:color w:val="0000EE"/>
            <w:u w:val="single"/>
          </w:rPr>
          <w:t>6.26</w:t>
        </w:r>
      </w:hyperlink>
      <w:r>
        <w:t xml:space="preserve">; </w:t>
      </w:r>
      <w:hyperlink r:id="rId31">
        <w:r>
          <w:rPr>
            <w:color w:val="0000EE"/>
            <w:u w:val="single"/>
          </w:rPr>
          <w:t>9.1</w:t>
        </w:r>
      </w:hyperlink>
      <w:r>
        <w:t xml:space="preserve">; </w:t>
      </w:r>
      <w:hyperlink r:id="rId32">
        <w:r>
          <w:rPr>
            <w:color w:val="0000EE"/>
            <w:u w:val="single"/>
          </w:rPr>
          <w:t>13.17</w:t>
        </w:r>
      </w:hyperlink>
      <w:r>
        <w:t xml:space="preserve">; </w:t>
      </w:r>
      <w:hyperlink r:id="rId33">
        <w:r>
          <w:rPr>
            <w:color w:val="0000EE"/>
            <w:u w:val="single"/>
          </w:rPr>
          <w:t>14.17</w:t>
        </w:r>
      </w:hyperlink>
      <w:r>
        <w:t xml:space="preserve">; </w:t>
      </w:r>
      <w:hyperlink r:id="rId34">
        <w:r>
          <w:rPr>
            <w:color w:val="0000EE"/>
            <w:u w:val="single"/>
          </w:rPr>
          <w:t>25.34</w:t>
        </w:r>
      </w:hyperlink>
      <w:r>
        <w:t>); pecado (</w:t>
      </w:r>
      <w:hyperlink r:id="rId35">
        <w:r>
          <w:rPr>
            <w:color w:val="0000EE"/>
            <w:u w:val="single"/>
          </w:rPr>
          <w:t>1.5</w:t>
        </w:r>
      </w:hyperlink>
      <w:r>
        <w:t>,</w:t>
      </w:r>
      <w:hyperlink r:id="rId36">
        <w:r>
          <w:rPr>
            <w:color w:val="0000EE"/>
            <w:u w:val="single"/>
          </w:rPr>
          <w:t>10</w:t>
        </w:r>
      </w:hyperlink>
      <w:r>
        <w:t>,</w:t>
      </w:r>
      <w:hyperlink r:id="rId37">
        <w:r>
          <w:rPr>
            <w:color w:val="0000EE"/>
            <w:u w:val="single"/>
          </w:rPr>
          <w:t>18</w:t>
        </w:r>
      </w:hyperlink>
      <w:r>
        <w:t>,</w:t>
      </w:r>
      <w:hyperlink r:id="rId38">
        <w:r>
          <w:rPr>
            <w:color w:val="0000EE"/>
            <w:u w:val="single"/>
          </w:rPr>
          <w:t>22</w:t>
        </w:r>
      </w:hyperlink>
      <w:r>
        <w:t xml:space="preserve">; </w:t>
      </w:r>
      <w:hyperlink r:id="rId39">
        <w:r>
          <w:rPr>
            <w:color w:val="0000EE"/>
            <w:u w:val="single"/>
          </w:rPr>
          <w:t>3.42</w:t>
        </w:r>
      </w:hyperlink>
      <w:r>
        <w:t xml:space="preserve">; </w:t>
      </w:r>
      <w:hyperlink r:id="rId40">
        <w:r>
          <w:rPr>
            <w:color w:val="0000EE"/>
            <w:u w:val="single"/>
          </w:rPr>
          <w:t>4.13–14</w:t>
        </w:r>
      </w:hyperlink>
      <w:r>
        <w:t xml:space="preserve">; </w:t>
      </w:r>
      <w:hyperlink r:id="rId41">
        <w:r>
          <w:rPr>
            <w:color w:val="0000EE"/>
            <w:u w:val="single"/>
          </w:rPr>
          <w:t>5.7</w:t>
        </w:r>
      </w:hyperlink>
      <w:r>
        <w:t xml:space="preserve">; cp. </w:t>
      </w:r>
      <w:hyperlink r:id="rId42">
        <w:r>
          <w:rPr>
            <w:color w:val="0000EE"/>
            <w:u w:val="single"/>
          </w:rPr>
          <w:t>Jr 2.34</w:t>
        </w:r>
      </w:hyperlink>
      <w:r>
        <w:t xml:space="preserve">; </w:t>
      </w:r>
      <w:hyperlink r:id="rId43">
        <w:r>
          <w:rPr>
            <w:color w:val="0000EE"/>
            <w:u w:val="single"/>
          </w:rPr>
          <w:t>4.17</w:t>
        </w:r>
      </w:hyperlink>
      <w:r>
        <w:t xml:space="preserve">; </w:t>
      </w:r>
      <w:hyperlink r:id="rId44">
        <w:r>
          <w:rPr>
            <w:color w:val="0000EE"/>
            <w:u w:val="single"/>
          </w:rPr>
          <w:t>14.20</w:t>
        </w:r>
      </w:hyperlink>
      <w:r>
        <w:t xml:space="preserve">; </w:t>
      </w:r>
      <w:hyperlink r:id="rId45">
        <w:r>
          <w:rPr>
            <w:color w:val="0000EE"/>
            <w:u w:val="single"/>
          </w:rPr>
          <w:t>30.14–16</w:t>
        </w:r>
      </w:hyperlink>
      <w:r>
        <w:t xml:space="preserve">; </w:t>
      </w:r>
      <w:hyperlink r:id="rId46">
        <w:r>
          <w:rPr>
            <w:color w:val="0000EE"/>
            <w:u w:val="single"/>
          </w:rPr>
          <w:t>31.29</w:t>
        </w:r>
      </w:hyperlink>
      <w:r>
        <w:t xml:space="preserve">; </w:t>
      </w:r>
      <w:hyperlink r:id="rId47">
        <w:r>
          <w:rPr>
            <w:color w:val="0000EE"/>
            <w:u w:val="single"/>
          </w:rPr>
          <w:t>51.51</w:t>
        </w:r>
      </w:hyperlink>
      <w:r>
        <w:t>); punição (</w:t>
      </w:r>
      <w:hyperlink r:id="rId48">
        <w:r>
          <w:rPr>
            <w:color w:val="0000EE"/>
            <w:u w:val="single"/>
          </w:rPr>
          <w:t>2.2–22</w:t>
        </w:r>
      </w:hyperlink>
      <w:r>
        <w:t xml:space="preserve">; </w:t>
      </w:r>
      <w:hyperlink r:id="rId49">
        <w:r>
          <w:rPr>
            <w:color w:val="0000EE"/>
            <w:u w:val="single"/>
          </w:rPr>
          <w:t>3.39</w:t>
        </w:r>
      </w:hyperlink>
      <w:r>
        <w:t xml:space="preserve">; </w:t>
      </w:r>
      <w:hyperlink r:id="rId50">
        <w:r>
          <w:rPr>
            <w:color w:val="0000EE"/>
            <w:u w:val="single"/>
          </w:rPr>
          <w:t>5.14–16</w:t>
        </w:r>
      </w:hyperlink>
      <w:r>
        <w:t xml:space="preserve">; cp. </w:t>
      </w:r>
      <w:hyperlink r:id="rId51">
        <w:r>
          <w:rPr>
            <w:color w:val="0000EE"/>
            <w:u w:val="single"/>
          </w:rPr>
          <w:t>Jr 6.11</w:t>
        </w:r>
      </w:hyperlink>
      <w:r>
        <w:t xml:space="preserve">, </w:t>
      </w:r>
      <w:hyperlink r:id="rId52">
        <w:r>
          <w:rPr>
            <w:color w:val="0000EE"/>
            <w:u w:val="single"/>
          </w:rPr>
          <w:t>25</w:t>
        </w:r>
      </w:hyperlink>
      <w:r>
        <w:t xml:space="preserve">; </w:t>
      </w:r>
      <w:hyperlink r:id="rId53">
        <w:r>
          <w:rPr>
            <w:color w:val="0000EE"/>
            <w:u w:val="single"/>
          </w:rPr>
          <w:t>7.14</w:t>
        </w:r>
      </w:hyperlink>
      <w:r>
        <w:t xml:space="preserve">; </w:t>
      </w:r>
      <w:hyperlink r:id="rId54">
        <w:r>
          <w:rPr>
            <w:color w:val="0000EE"/>
            <w:u w:val="single"/>
          </w:rPr>
          <w:t>16.2–4</w:t>
        </w:r>
      </w:hyperlink>
      <w:r>
        <w:t xml:space="preserve">; </w:t>
      </w:r>
      <w:hyperlink r:id="rId24">
        <w:r>
          <w:rPr>
            <w:color w:val="0000EE"/>
            <w:u w:val="single"/>
          </w:rPr>
          <w:t>18.21</w:t>
        </w:r>
      </w:hyperlink>
      <w:r>
        <w:t xml:space="preserve">; </w:t>
      </w:r>
      <w:hyperlink r:id="rId55">
        <w:r>
          <w:rPr>
            <w:color w:val="0000EE"/>
            <w:u w:val="single"/>
          </w:rPr>
          <w:t>51.30</w:t>
        </w:r>
      </w:hyperlink>
      <w:r>
        <w:t>,</w:t>
      </w:r>
      <w:hyperlink r:id="rId56">
        <w:r>
          <w:rPr>
            <w:color w:val="0000EE"/>
            <w:u w:val="single"/>
          </w:rPr>
          <w:t>34</w:t>
        </w:r>
      </w:hyperlink>
      <w:r>
        <w:t xml:space="preserve">; </w:t>
      </w:r>
      <w:hyperlink r:id="rId57">
        <w:r>
          <w:rPr>
            <w:color w:val="0000EE"/>
            <w:u w:val="single"/>
          </w:rPr>
          <w:t>52.14</w:t>
        </w:r>
      </w:hyperlink>
      <w:r>
        <w:t>); falsos profetas (</w:t>
      </w:r>
      <w:hyperlink r:id="rId58">
        <w:r>
          <w:rPr>
            <w:color w:val="0000EE"/>
            <w:u w:val="single"/>
          </w:rPr>
          <w:t>2.14</w:t>
        </w:r>
      </w:hyperlink>
      <w:r>
        <w:t xml:space="preserve">; cp. </w:t>
      </w:r>
      <w:hyperlink r:id="rId59">
        <w:r>
          <w:rPr>
            <w:color w:val="0000EE"/>
            <w:u w:val="single"/>
          </w:rPr>
          <w:t>Jr 23.25–29</w:t>
        </w:r>
      </w:hyperlink>
      <w:r>
        <w:t xml:space="preserve">; </w:t>
      </w:r>
      <w:hyperlink r:id="rId60">
        <w:r>
          <w:rPr>
            <w:color w:val="0000EE"/>
            <w:u w:val="single"/>
          </w:rPr>
          <w:t>29.8–9</w:t>
        </w:r>
      </w:hyperlink>
      <w:r>
        <w:t>); amargura (</w:t>
      </w:r>
      <w:hyperlink r:id="rId61">
        <w:r>
          <w:rPr>
            <w:color w:val="0000EE"/>
            <w:u w:val="single"/>
          </w:rPr>
          <w:t>3.19</w:t>
        </w:r>
      </w:hyperlink>
      <w:r>
        <w:t xml:space="preserve">; cp. </w:t>
      </w:r>
      <w:hyperlink r:id="rId62">
        <w:r>
          <w:rPr>
            <w:color w:val="0000EE"/>
            <w:u w:val="single"/>
          </w:rPr>
          <w:t>Jr 9.15</w:t>
        </w:r>
      </w:hyperlink>
      <w:r>
        <w:t>); poços (</w:t>
      </w:r>
      <w:hyperlink r:id="rId63">
        <w:r>
          <w:rPr>
            <w:color w:val="0000EE"/>
            <w:u w:val="single"/>
          </w:rPr>
          <w:t>3.53</w:t>
        </w:r>
      </w:hyperlink>
      <w:r>
        <w:t>,</w:t>
      </w:r>
      <w:hyperlink r:id="rId64">
        <w:r>
          <w:rPr>
            <w:color w:val="0000EE"/>
            <w:u w:val="single"/>
          </w:rPr>
          <w:t>55</w:t>
        </w:r>
      </w:hyperlink>
      <w:r>
        <w:t xml:space="preserve">; cp. </w:t>
      </w:r>
      <w:hyperlink r:id="rId65">
        <w:r>
          <w:rPr>
            <w:color w:val="0000EE"/>
            <w:u w:val="single"/>
          </w:rPr>
          <w:t>Jr 37.16</w:t>
        </w:r>
      </w:hyperlink>
      <w:r>
        <w:t xml:space="preserve">; </w:t>
      </w:r>
      <w:hyperlink r:id="rId66">
        <w:r>
          <w:rPr>
            <w:color w:val="0000EE"/>
            <w:u w:val="single"/>
          </w:rPr>
          <w:t>38.6–13</w:t>
        </w:r>
      </w:hyperlink>
      <w:r>
        <w:t>); e potes de barro (</w:t>
      </w:r>
      <w:hyperlink r:id="rId67">
        <w:r>
          <w:rPr>
            <w:color w:val="0000EE"/>
            <w:u w:val="single"/>
          </w:rPr>
          <w:t>4.2</w:t>
        </w:r>
      </w:hyperlink>
      <w:r>
        <w:t xml:space="preserve">; cp. </w:t>
      </w:r>
      <w:hyperlink r:id="rId68">
        <w:r>
          <w:rPr>
            <w:color w:val="0000EE"/>
            <w:u w:val="single"/>
          </w:rPr>
          <w:t>Jr 19.11</w:t>
        </w:r>
      </w:hyperlink>
      <w:r>
        <w:t>). Embora alguns estudiosos do Antigo Testamento atribuam Lamentações a um autor muito posterior, tais semelhanças apoiam a autoria de Jeremias.</w:t>
      </w:r>
    </w:p>
    <w:p>
      <w:pPr>
        <w:pStyle w:val="Heading1"/>
      </w:pPr>
      <w:r>
        <w:t>Significado e mensagem</w:t>
      </w:r>
    </w:p>
    <w:p>
      <w:r/>
      <w: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r/>
      <w: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9">
        <w:r>
          <w:rPr>
            <w:color w:val="0000EE"/>
            <w:u w:val="single"/>
          </w:rPr>
          <w:t>Dt 28.32–53</w:t>
        </w:r>
      </w:hyperlink>
      <w:r>
        <w:t xml:space="preserve">). O castigo de Deus foi justo e correto (veja </w:t>
      </w:r>
      <w:hyperlink r:id="rId37">
        <w:r>
          <w:rPr>
            <w:color w:val="0000EE"/>
            <w:u w:val="single"/>
          </w:rPr>
          <w:t>Lm 1.18</w:t>
        </w:r>
      </w:hyperlink>
      <w:r>
        <w:t>); ele não tolera a rebelião humana.</w:t>
      </w:r>
    </w:p>
    <w:p>
      <w:r/>
      <w: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70">
        <w:r>
          <w:rPr>
            <w:color w:val="0000EE"/>
            <w:u w:val="single"/>
          </w:rPr>
          <w:t>Lm 3.21–26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