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(Spanish)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Génesis</w:t>
      </w:r>
      <w:r/>
    </w:p>
    <w:p>
      <w:r/>
      <w: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1"/>
      </w:pPr>
      <w:r>
        <w:t>Contexto</w:t>
      </w:r>
    </w:p>
    <w:p>
      <w:r/>
      <w: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r/>
      <w:r>
        <w:t xml:space="preserve">Mientras estaban esclavizados en Egipto, los israelitas habían adoptado muchas ideas y costumbres paganas de sus amos egipcios (ver </w:t>
      </w:r>
      <w:hyperlink r:id="rId15">
        <w:r>
          <w:rPr>
            <w:color w:val="0000EE"/>
            <w:u w:val="single"/>
          </w:rPr>
          <w:t>Éxodo 32:1–4</w:t>
        </w:r>
      </w:hyperlink>
      <w: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r/>
      <w: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1"/>
      </w:pPr>
      <w:r>
        <w:t>Resumen</w:t>
      </w:r>
    </w:p>
    <w:p>
      <w:r/>
      <w:r>
        <w:t>Génesis describe el trabajo de Dios para superar con bendición la maldición que vino sobre la humanidad debido al pecado. El libro establece tradiciones familiares, genealogías, eventos históricos y comentarios editoriales en un solo argumento sostenido.</w:t>
      </w:r>
    </w:p>
    <w:p>
      <w:r/>
      <w:r>
        <w:t>Cada sección de Génesis, excepto la primera, tiene el encabezado "Esta es la historia" (o "Estas son las generaciones</w:t>
      </w:r>
      <w:r>
        <w:rPr>
          <w:i/>
        </w:rPr>
        <w:t>"</w:t>
      </w:r>
      <w:r>
        <w:t xml:space="preserve">; hebreo </w:t>
      </w:r>
      <w:r>
        <w:rPr>
          <w:i/>
        </w:rPr>
        <w:t>toledot</w:t>
      </w:r>
      <w:r>
        <w:t xml:space="preserve">). Cada una de las secciones de </w:t>
      </w:r>
      <w:r>
        <w:rPr>
          <w:i/>
        </w:rPr>
        <w:t xml:space="preserve">toledot </w:t>
      </w:r>
      <w: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r/>
      <w:r>
        <w:t>La primera sección (</w:t>
      </w:r>
      <w:hyperlink r:id="rId16">
        <w:r>
          <w:rPr>
            <w:color w:val="0000EE"/>
            <w:u w:val="single"/>
          </w:rPr>
          <w:t>1:1–2:3</w:t>
        </w:r>
      </w:hyperlink>
      <w:r>
        <w:t xml:space="preserve">) no tiene el encabezado </w:t>
      </w:r>
      <w:r>
        <w:rPr>
          <w:i/>
        </w:rPr>
        <w:t xml:space="preserve">toledot: </w:t>
      </w:r>
      <w:r>
        <w:t>es el relato de la creación "en el principio" (</w:t>
      </w:r>
      <w:hyperlink r:id="rId17">
        <w:r>
          <w:rPr>
            <w:color w:val="0000EE"/>
            <w:u w:val="single"/>
          </w:rPr>
          <w:t>1:1</w:t>
        </w:r>
      </w:hyperlink>
      <w:r>
        <w:t>). La obra de la creación está envuelta en la aprobación y bendición de Dios mientras cumple su plan.</w:t>
      </w:r>
    </w:p>
    <w:p>
      <w:r/>
      <w:r>
        <w:t>La siguiente sección (</w:t>
      </w:r>
      <w:hyperlink r:id="rId18">
        <w:r>
          <w:rPr>
            <w:color w:val="0000EE"/>
            <w:u w:val="single"/>
          </w:rPr>
          <w:t>2:4–4:26</w:t>
        </w:r>
      </w:hyperlink>
      <w:r>
        <w:t>) se centra en la creación de la vida humana (</w:t>
      </w:r>
      <w:hyperlink r:id="rId19">
        <w:r>
          <w:rPr>
            <w:color w:val="0000EE"/>
            <w:u w:val="single"/>
          </w:rPr>
          <w:t>2:4–25</w:t>
        </w:r>
      </w:hyperlink>
      <w:r>
        <w:t>) y explora lo que pasó con la creación de Dios debido al pecado de Adán y Eva (</w:t>
      </w:r>
      <w:hyperlink r:id="rId20">
        <w:r>
          <w:rPr>
            <w:color w:val="0000EE"/>
            <w:u w:val="single"/>
          </w:rPr>
          <w:t>3:1–13</w:t>
        </w:r>
      </w:hyperlink>
      <w:r>
        <w:t>), la maldición sobre su pecado (</w:t>
      </w:r>
      <w:hyperlink r:id="rId21">
        <w:r>
          <w:rPr>
            <w:color w:val="0000EE"/>
            <w:u w:val="single"/>
          </w:rPr>
          <w:t>3:14–24</w:t>
        </w:r>
      </w:hyperlink>
      <w:r>
        <w:t>) y la extensión del pecado a sus descendientes (</w:t>
      </w:r>
      <w:hyperlink r:id="rId22">
        <w:r>
          <w:rPr>
            <w:color w:val="0000EE"/>
            <w:u w:val="single"/>
          </w:rPr>
          <w:t>4:1–24</w:t>
        </w:r>
      </w:hyperlink>
      <w:r>
        <w:t>). La humanidad ya no disfrutaba del descanso de Dios; en cambio, experimentaban culpa y miedo. Así que huyeron de Dios y desarrollaron una civilización marcada por el orgullo.</w:t>
      </w:r>
    </w:p>
    <w:p>
      <w:r/>
      <w:r>
        <w:t>La independencia de Dios resultó en la decadencia de la vida humana (</w:t>
      </w:r>
      <w:hyperlink r:id="rId23">
        <w:r>
          <w:rPr>
            <w:color w:val="0000EE"/>
            <w:u w:val="single"/>
          </w:rPr>
          <w:t>5:1–6:8</w:t>
        </w:r>
      </w:hyperlink>
      <w:r>
        <w:t xml:space="preserve">). La genealogía de </w:t>
      </w:r>
      <w:hyperlink r:id="rId24">
        <w:r>
          <w:rPr>
            <w:color w:val="0000EE"/>
            <w:u w:val="single"/>
          </w:rPr>
          <w:t>5:1–32</w:t>
        </w:r>
      </w:hyperlink>
      <w:r>
        <w:t xml:space="preserve"> comienza recordando que los seres humanos fueron hechos a imagen de Dios y fueron bendecidos por él (</w:t>
      </w:r>
      <w:hyperlink r:id="rId25">
        <w:r>
          <w:rPr>
            <w:color w:val="0000EE"/>
            <w:u w:val="single"/>
          </w:rPr>
          <w:t>5:1–2</w:t>
        </w:r>
      </w:hyperlink>
      <w:r>
        <w:t xml:space="preserve">). A medida que se traza la genealogía, la muerte de cada generación le recuerda al lector la maldición, con Enoc proporcionando un rayo de esperanza de que la maldición no es definitiva. En </w:t>
      </w:r>
      <w:hyperlink r:id="rId26">
        <w:r>
          <w:rPr>
            <w:color w:val="0000EE"/>
            <w:u w:val="single"/>
          </w:rPr>
          <w:t>6:1–8</w:t>
        </w:r>
      </w:hyperlink>
      <w:r>
        <w:t>, aprendemos que Dios lamentó haber creado a los humanos y decidió juzgar la tierra. Noé, sin embargo, recibió el favor de Dios y proporcionó una fuente de esperanza (</w:t>
      </w:r>
      <w:hyperlink r:id="rId27">
        <w:r>
          <w:rPr>
            <w:color w:val="0000EE"/>
            <w:u w:val="single"/>
          </w:rPr>
          <w:t>5:29</w:t>
        </w:r>
      </w:hyperlink>
      <w:r>
        <w:t xml:space="preserve">; </w:t>
      </w:r>
      <w:hyperlink r:id="rId28">
        <w:r>
          <w:rPr>
            <w:color w:val="0000EE"/>
            <w:u w:val="single"/>
          </w:rPr>
          <w:t>6:8</w:t>
        </w:r>
      </w:hyperlink>
      <w:r>
        <w:t>).</w:t>
      </w:r>
    </w:p>
    <w:p>
      <w:r/>
      <w:r>
        <w:t>La siguiente sección (</w:t>
      </w:r>
      <w:hyperlink r:id="rId29">
        <w:r>
          <w:rPr>
            <w:color w:val="0000EE"/>
            <w:u w:val="single"/>
          </w:rPr>
          <w:t>6:9–9:29</w:t>
        </w:r>
      </w:hyperlink>
      <w:r>
        <w:t>) relata la maldición del juicio a través del diluvio seguida de la bendición en un nuevo comienzo. La creación fue renovada, purgada del abominable mal que había invadido y arruinado a la raza humana.</w:t>
      </w:r>
    </w:p>
    <w:p>
      <w:r/>
      <w:r>
        <w:t>Pero a medida que la población mundial aumentaba y se expandía en varias naciones (</w:t>
      </w:r>
      <w:hyperlink r:id="rId30">
        <w:r>
          <w:rPr>
            <w:color w:val="0000EE"/>
            <w:u w:val="single"/>
          </w:rPr>
          <w:t>10:1–11:9</w:t>
        </w:r>
      </w:hyperlink>
      <w:r>
        <w:t>), la gente nuevamente se inclinaba hacia la desobediencia. Debido a su rebelión, Dios los dispersó para prevenir una mayor maldad (</w:t>
      </w:r>
      <w:hyperlink r:id="rId31">
        <w:r>
          <w:rPr>
            <w:color w:val="0000EE"/>
            <w:u w:val="single"/>
          </w:rPr>
          <w:t>11:1–9</w:t>
        </w:r>
      </w:hyperlink>
      <w:r>
        <w:t>).</w:t>
      </w:r>
    </w:p>
    <w:p>
      <w:r/>
      <w:r>
        <w:t xml:space="preserve">Después del caos de las naciones dispersas, </w:t>
      </w:r>
      <w:hyperlink r:id="rId32">
        <w:r>
          <w:rPr>
            <w:color w:val="0000EE"/>
            <w:u w:val="single"/>
          </w:rPr>
          <w:t>11:10–26</w:t>
        </w:r>
      </w:hyperlink>
      <w:r>
        <w:t xml:space="preserve"> enfoca en Abrahán, a través de quien Dios eligió traer bendición a todos. El resto del libro (</w:t>
      </w:r>
      <w:hyperlink r:id="rId33">
        <w:r>
          <w:rPr>
            <w:color w:val="0000EE"/>
            <w:u w:val="single"/>
          </w:rPr>
          <w:t>11:27–50:26</w:t>
        </w:r>
      </w:hyperlink>
      <w:r>
        <w:t>) habla de la bendición de Dios a Abram y sus descendientes. Dios primero hizo un pacto con Abrahán (</w:t>
      </w:r>
      <w:hyperlink r:id="rId34">
        <w:r>
          <w:rPr>
            <w:color w:val="0000EE"/>
            <w:u w:val="single"/>
          </w:rPr>
          <w:t>11:27–25:11</w:t>
        </w:r>
      </w:hyperlink>
      <w:r>
        <w:t>), prometiéndole una gran nación, tierra y nombre. A medida que pasaba el tiempo, Dios hizo más claros los términos específicos del pacto, y la fe de Abrahán se profundizó.</w:t>
      </w:r>
    </w:p>
    <w:p>
      <w:r/>
      <w:r>
        <w:t>Al hablar de cada generación, Génesis da un breve relato de las familias que no son los antepasados de Israel antes de pasar a la línea de Israel. Por ejemplo, después de informar brevemente lo que sucedió con Ismael (</w:t>
      </w:r>
      <w:hyperlink r:id="rId35">
        <w:r>
          <w:rPr>
            <w:color w:val="0000EE"/>
            <w:u w:val="single"/>
          </w:rPr>
          <w:t>25:12–18</w:t>
        </w:r>
      </w:hyperlink>
      <w:r>
        <w:t>), Génesis detalla lo que ocurrió con Isaac y su familia (</w:t>
      </w:r>
      <w:hyperlink r:id="rId36">
        <w:r>
          <w:rPr>
            <w:color w:val="0000EE"/>
            <w:u w:val="single"/>
          </w:rPr>
          <w:t>25:19–35:29</w:t>
        </w:r>
      </w:hyperlink>
      <w:r>
        <w:t>). De igual manera, la línea de Esaú (Edom) se trata brevemente (</w:t>
      </w:r>
      <w:hyperlink r:id="rId37">
        <w:r>
          <w:rPr>
            <w:color w:val="0000EE"/>
            <w:u w:val="single"/>
          </w:rPr>
          <w:t>36:1–37:1</w:t>
        </w:r>
      </w:hyperlink>
      <w:r>
        <w:t>) antes de la extensa sección final, que concierne a la línea elegida de Jacob el heredero (</w:t>
      </w:r>
      <w:hyperlink r:id="rId38">
        <w:r>
          <w:rPr>
            <w:color w:val="0000EE"/>
            <w:u w:val="single"/>
          </w:rPr>
          <w:t>37:2–50:26</w:t>
        </w:r>
      </w:hyperlink>
      <w:r>
        <w:t>).</w:t>
      </w:r>
    </w:p>
    <w:p>
      <w:r/>
      <w: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9">
        <w:r>
          <w:rPr>
            <w:color w:val="0000EE"/>
            <w:u w:val="single"/>
          </w:rPr>
          <w:t>50:24–26</w:t>
        </w:r>
      </w:hyperlink>
      <w:r>
        <w:t>).</w:t>
      </w:r>
    </w:p>
    <w:p>
      <w:pPr>
        <w:pStyle w:val="Heading1"/>
      </w:pPr>
      <w:r>
        <w:t>Autoría</w:t>
      </w:r>
    </w:p>
    <w:p>
      <w:r/>
      <w: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rPr>
        <w:t>Hipótesis Documentaria,</w:t>
      </w:r>
      <w: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r/>
      <w:r>
        <w:t>Sin embargo, tanto la Escritura como la tradición atribuyen el Pentateuco a Moisés. Moisés fue educado en toda la sabiduría de los egipcios (</w:t>
      </w:r>
      <w:hyperlink r:id="rId40">
        <w:r>
          <w:rPr>
            <w:color w:val="0000EE"/>
            <w:u w:val="single"/>
          </w:rPr>
          <w:t>Hechos 7:22</w:t>
        </w:r>
      </w:hyperlink>
      <w: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r/>
      <w:r>
        <w:t xml:space="preserve">Es posible que Moisés sirviera como la fuente fundamental del material registrado en el Pentateuco y que se hicieran algunos ajustes editoriales posteriormente (incluyendo el registro de la muerte de Moisés, </w:t>
      </w:r>
      <w:hyperlink r:id="rId41">
        <w:r>
          <w:rPr>
            <w:color w:val="0000EE"/>
            <w:u w:val="single"/>
          </w:rPr>
          <w:t>Dt 34</w:t>
        </w:r>
      </w:hyperlink>
      <w:r>
        <w:t>). Independientemente, los israelitas aceptaron el Pentateuco como portador de toda la autoridad de Moisés.</w:t>
      </w:r>
    </w:p>
    <w:p>
      <w:pPr>
        <w:pStyle w:val="Heading1"/>
      </w:pPr>
      <w:r>
        <w:t>Composición</w:t>
      </w:r>
    </w:p>
    <w:p>
      <w:r/>
      <w: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r/>
      <w:r>
        <w:t xml:space="preserve">Génesis también incluye pasajes y expresiones que son obviamente glosas editoriales posteriores. Algunas secciones (como la lista de los reyes edomitas, </w:t>
      </w:r>
      <w:hyperlink r:id="rId42">
        <w:r>
          <w:rPr>
            <w:color w:val="0000EE"/>
            <w:u w:val="single"/>
          </w:rPr>
          <w:t>36:31–43</w:t>
        </w:r>
      </w:hyperlink>
      <w:r>
        <w:t>) podrían haber sido añadidas durante los primeros días de la monarquía. No hay conflicto en decir que el Génesis fue escrito por Moisés y aumentado por editores posteriores cuyo trabajo fue guiado por el Espíritu Santo.</w:t>
      </w:r>
    </w:p>
    <w:p>
      <w:pPr>
        <w:pStyle w:val="Heading1"/>
      </w:pPr>
      <w:r>
        <w:t>Carácter Literario</w:t>
      </w:r>
    </w:p>
    <w:p>
      <w:r/>
      <w:r>
        <w:t>El Génesis incluye varios tipos de literatura. Varias sugerencias se han hecho sobre la naturaleza de los materiales.</w:t>
      </w:r>
    </w:p>
    <w:p>
      <w:r/>
      <w: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3">
        <w:r>
          <w:rPr>
            <w:color w:val="0000EE"/>
            <w:u w:val="single"/>
          </w:rPr>
          <w:t>Gn 38:15</w:t>
        </w:r>
      </w:hyperlink>
      <w:r>
        <w:t xml:space="preserve">, </w:t>
      </w:r>
      <w:hyperlink r:id="rId44">
        <w:r>
          <w:rPr>
            <w:color w:val="0000EE"/>
            <w:u w:val="single"/>
          </w:rPr>
          <w:t>21–22</w:t>
        </w:r>
      </w:hyperlink>
      <w:r>
        <w:t>).</w:t>
      </w:r>
    </w:p>
    <w:p>
      <w:r/>
      <w: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r/>
      <w: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5">
        <w:r>
          <w:rPr>
            <w:color w:val="0000EE"/>
            <w:u w:val="single"/>
          </w:rPr>
          <w:t>1:14–18</w:t>
        </w:r>
      </w:hyperlink>
      <w:r>
        <w:t>). El libro de Génesis es un cementerio de mitos sin vida y dioses muertos.</w:t>
      </w:r>
    </w:p>
    <w:p>
      <w:r/>
      <w: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r/>
      <w:r>
        <w:t xml:space="preserve">Elementos etiológicos ciertamente ocurren en Génesis, ya que el libro da la base y la justificación para casi todo lo que Israel haría más tarde. Por ejemplo, el relato de la creación de </w:t>
      </w:r>
      <w:hyperlink r:id="rId46">
        <w:r>
          <w:rPr>
            <w:color w:val="0000EE"/>
            <w:u w:val="single"/>
          </w:rPr>
          <w:t>Génesis 2</w:t>
        </w:r>
      </w:hyperlink>
      <w: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r/>
      <w: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r/>
      <w: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r/>
      <w: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r/>
      <w: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r/>
      <w: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r/>
      <w:r>
        <w:t xml:space="preserve">Literatura Instructiva. Dado que Génesis es el primer libro del Pentateuco (la “Torá” o Ley), puede ser mejor clasificarlo como “Literatura de la Torá” (hebreo </w:t>
      </w:r>
      <w:r>
        <w:rPr>
          <w:i/>
        </w:rPr>
        <w:t>torah</w:t>
      </w:r>
      <w: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1"/>
      </w:pPr>
      <w:r>
        <w:t>Significado y Mensaje</w:t>
      </w:r>
    </w:p>
    <w:p>
      <w:r/>
      <w: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r/>
      <w: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r/>
      <w:r>
        <w:t>Israel podía rastrear su ascendencia hasta el patriarca Abraham y su destino hasta las promesas de Dios (</w:t>
      </w:r>
      <w:hyperlink r:id="rId47">
        <w:r>
          <w:rPr>
            <w:color w:val="0000EE"/>
            <w:u w:val="single"/>
          </w:rPr>
          <w:t>12:1–3,</w:t>
        </w:r>
      </w:hyperlink>
      <w:r>
        <w:t xml:space="preserve"> </w:t>
      </w:r>
      <w:hyperlink r:id="rId48">
        <w:r>
          <w:rPr>
            <w:color w:val="0000EE"/>
            <w:u w:val="single"/>
          </w:rPr>
          <w:t>15:1–21,</w:t>
        </w:r>
      </w:hyperlink>
      <w:r>
        <w:t xml:space="preserve"> </w:t>
      </w:r>
      <w:hyperlink r:id="rId49">
        <w:r>
          <w:rPr>
            <w:color w:val="0000EE"/>
            <w:u w:val="single"/>
          </w:rPr>
          <w:t>17:1–8</w:t>
        </w:r>
      </w:hyperlink>
      <w: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r/>
      <w: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r/>
      <w: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r/>
      <w: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50">
        <w:r>
          <w:rPr>
            <w:color w:val="0000EE"/>
            <w:u w:val="single"/>
          </w:rPr>
          <w:t>Rm 8:28</w:t>
        </w:r>
      </w:hyperlink>
      <w:r>
        <w:t>).</w:t>
      </w:r>
    </w:p>
    <w:p>
      <w:r/>
      <w: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r/>
      <w: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51">
        <w:r>
          <w:rPr>
            <w:color w:val="0000EE"/>
            <w:u w:val="single"/>
          </w:rPr>
          <w:t>Hb 11:6</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32:1-Exod32:4" TargetMode="External"/><Relationship Id="rId16" Type="http://schemas.openxmlformats.org/officeDocument/2006/relationships/hyperlink" Target="https://ref.ly/Gen1:1-Gen2:3" TargetMode="External"/><Relationship Id="rId17" Type="http://schemas.openxmlformats.org/officeDocument/2006/relationships/hyperlink" Target="https://ref.ly/Gen1:1" TargetMode="External"/><Relationship Id="rId18" Type="http://schemas.openxmlformats.org/officeDocument/2006/relationships/hyperlink" Target="https://ref.ly/Gen2:4-Gen4:26" TargetMode="External"/><Relationship Id="rId19" Type="http://schemas.openxmlformats.org/officeDocument/2006/relationships/hyperlink" Target="https://ref.ly/Gen2:4-Gen2:25" TargetMode="External"/><Relationship Id="rId20" Type="http://schemas.openxmlformats.org/officeDocument/2006/relationships/hyperlink" Target="https://ref.ly/Gen3:1-Gen3:13" TargetMode="External"/><Relationship Id="rId21" Type="http://schemas.openxmlformats.org/officeDocument/2006/relationships/hyperlink" Target="https://ref.ly/Gen3:14-Gen3:24" TargetMode="External"/><Relationship Id="rId22" Type="http://schemas.openxmlformats.org/officeDocument/2006/relationships/hyperlink" Target="https://ref.ly/Gen4:1-Gen4:24" TargetMode="External"/><Relationship Id="rId23" Type="http://schemas.openxmlformats.org/officeDocument/2006/relationships/hyperlink" Target="https://ref.ly/Gen5:1-Gen6:8" TargetMode="External"/><Relationship Id="rId24" Type="http://schemas.openxmlformats.org/officeDocument/2006/relationships/hyperlink" Target="https://ref.ly/Gen5:1-Gen5:32" TargetMode="External"/><Relationship Id="rId25" Type="http://schemas.openxmlformats.org/officeDocument/2006/relationships/hyperlink" Target="https://ref.ly/Gen5:1-Gen5:2" TargetMode="External"/><Relationship Id="rId26" Type="http://schemas.openxmlformats.org/officeDocument/2006/relationships/hyperlink" Target="https://ref.ly/Gen6:1-Gen6:8" TargetMode="External"/><Relationship Id="rId27" Type="http://schemas.openxmlformats.org/officeDocument/2006/relationships/hyperlink" Target="https://ref.ly/Gen5:29" TargetMode="External"/><Relationship Id="rId28" Type="http://schemas.openxmlformats.org/officeDocument/2006/relationships/hyperlink" Target="https://ref.ly/Gen6:8" TargetMode="External"/><Relationship Id="rId29" Type="http://schemas.openxmlformats.org/officeDocument/2006/relationships/hyperlink" Target="https://ref.ly/Gen6:9-Gen9:29" TargetMode="External"/><Relationship Id="rId30" Type="http://schemas.openxmlformats.org/officeDocument/2006/relationships/hyperlink" Target="https://ref.ly/Gen10:1-Gen11:9" TargetMode="External"/><Relationship Id="rId31" Type="http://schemas.openxmlformats.org/officeDocument/2006/relationships/hyperlink" Target="https://ref.ly/Gen11:1-Gen11:9" TargetMode="External"/><Relationship Id="rId32" Type="http://schemas.openxmlformats.org/officeDocument/2006/relationships/hyperlink" Target="https://ref.ly/Gen11:10-Gen11:26" TargetMode="External"/><Relationship Id="rId33" Type="http://schemas.openxmlformats.org/officeDocument/2006/relationships/hyperlink" Target="https://ref.ly/Gen11:27-Gen50:26" TargetMode="External"/><Relationship Id="rId34" Type="http://schemas.openxmlformats.org/officeDocument/2006/relationships/hyperlink" Target="https://ref.ly/Gen11:27-Gen25:11" TargetMode="External"/><Relationship Id="rId35" Type="http://schemas.openxmlformats.org/officeDocument/2006/relationships/hyperlink" Target="https://ref.ly/Gen25:12-Gen25:18" TargetMode="External"/><Relationship Id="rId36" Type="http://schemas.openxmlformats.org/officeDocument/2006/relationships/hyperlink" Target="https://ref.ly/Gen25:19-Gen35:29" TargetMode="External"/><Relationship Id="rId37" Type="http://schemas.openxmlformats.org/officeDocument/2006/relationships/hyperlink" Target="https://ref.ly/Gen36:1-Gen37:1" TargetMode="External"/><Relationship Id="rId38" Type="http://schemas.openxmlformats.org/officeDocument/2006/relationships/hyperlink" Target="https://ref.ly/Gen37:2-Gen50:26" TargetMode="External"/><Relationship Id="rId39" Type="http://schemas.openxmlformats.org/officeDocument/2006/relationships/hyperlink" Target="https://ref.ly/Gen50:24-Gen50:26" TargetMode="External"/><Relationship Id="rId40" Type="http://schemas.openxmlformats.org/officeDocument/2006/relationships/hyperlink" Target="https://ref.ly/Acts7:22" TargetMode="External"/><Relationship Id="rId41" Type="http://schemas.openxmlformats.org/officeDocument/2006/relationships/hyperlink" Target="https://ref.ly/Deut34:1-Deut34:12" TargetMode="External"/><Relationship Id="rId42" Type="http://schemas.openxmlformats.org/officeDocument/2006/relationships/hyperlink" Target="https://ref.ly/Gen36:31-Gen36:43" TargetMode="External"/><Relationship Id="rId43" Type="http://schemas.openxmlformats.org/officeDocument/2006/relationships/hyperlink" Target="https://ref.ly/Gen38:15" TargetMode="External"/><Relationship Id="rId44" Type="http://schemas.openxmlformats.org/officeDocument/2006/relationships/hyperlink" Target="https://ref.ly/Gen38:21-Gen38:22" TargetMode="External"/><Relationship Id="rId45" Type="http://schemas.openxmlformats.org/officeDocument/2006/relationships/hyperlink" Target="https://ref.ly/Gen1:14-Gen1:18" TargetMode="External"/><Relationship Id="rId46" Type="http://schemas.openxmlformats.org/officeDocument/2006/relationships/hyperlink" Target="https://ref.ly/Gen2:1-Gen2:25" TargetMode="External"/><Relationship Id="rId47" Type="http://schemas.openxmlformats.org/officeDocument/2006/relationships/hyperlink" Target="https://ref.ly/Gen12:1-Gen12:3" TargetMode="External"/><Relationship Id="rId48" Type="http://schemas.openxmlformats.org/officeDocument/2006/relationships/hyperlink" Target="https://ref.ly/Gen15:1-Gen15:21" TargetMode="External"/><Relationship Id="rId49" Type="http://schemas.openxmlformats.org/officeDocument/2006/relationships/hyperlink" Target="https://ref.ly/Gen17:1-Gen17:8" TargetMode="External"/><Relationship Id="rId50" Type="http://schemas.openxmlformats.org/officeDocument/2006/relationships/hyperlink" Target="https://ref.ly/Rom8:28" TargetMode="External"/><Relationship Id="rId51"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