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w:t>
      </w:r>
      <w:r/>
    </w:p>
    <w:p>
      <w:r/>
      <w: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1"/>
      </w:pPr>
      <w:r>
        <w:t>Ambientación</w:t>
      </w:r>
    </w:p>
    <w:p>
      <w:r/>
      <w: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5">
        <w:r>
          <w:rPr>
            <w:color w:val="0000EE"/>
            <w:u w:val="single"/>
          </w:rPr>
          <w:t>1:4</w:t>
        </w:r>
      </w:hyperlink>
      <w:r>
        <w:t xml:space="preserve">). No respetaban la autoridad (ver </w:t>
      </w:r>
      <w:hyperlink r:id="rId16">
        <w:r>
          <w:rPr>
            <w:color w:val="0000EE"/>
            <w:u w:val="single"/>
          </w:rPr>
          <w:t>1:8–9</w:t>
        </w:r>
      </w:hyperlink>
      <w:r>
        <w:t>) y se involucraban en muchos comportamientos pecaminosos (</w:t>
      </w:r>
      <w:hyperlink r:id="rId17">
        <w:r>
          <w:rPr>
            <w:color w:val="0000EE"/>
            <w:u w:val="single"/>
          </w:rPr>
          <w:t>1:16</w:t>
        </w:r>
      </w:hyperlink>
      <w:r>
        <w:t>,</w:t>
      </w:r>
      <w:hyperlink r:id="rId18">
        <w:r>
          <w:rPr>
            <w:color w:val="0000EE"/>
            <w:u w:val="single"/>
          </w:rPr>
          <w:t>19</w:t>
        </w:r>
      </w:hyperlink>
      <w:r>
        <w:t xml:space="preserve">). Estos libertinos, que afirmaban ser seguidores de Cristo (ver </w:t>
      </w:r>
      <w:hyperlink r:id="rId15">
        <w:r>
          <w:rPr>
            <w:color w:val="0000EE"/>
            <w:u w:val="single"/>
          </w:rPr>
          <w:t>1:4</w:t>
        </w:r>
      </w:hyperlink>
      <w:r>
        <w:t>), efectivamente negaban al Señor y, por lo tanto, estaban destinados a la condenación de todos los que se rebelan contra él.</w:t>
      </w:r>
    </w:p>
    <w:p>
      <w:pPr>
        <w:pStyle w:val="Heading1"/>
      </w:pPr>
      <w:r>
        <w:t>Resumen</w:t>
      </w:r>
    </w:p>
    <w:p>
      <w:r/>
      <w:r>
        <w:t>Después de la introducción de la carta (</w:t>
      </w:r>
      <w:hyperlink r:id="rId19">
        <w:r>
          <w:rPr>
            <w:color w:val="0000EE"/>
            <w:u w:val="single"/>
          </w:rPr>
          <w:t>1:1–2</w:t>
        </w:r>
      </w:hyperlink>
      <w:r>
        <w:t>), Judas explica la situación que motivó su misiva (</w:t>
      </w:r>
      <w:hyperlink r:id="rId20">
        <w:r>
          <w:rPr>
            <w:color w:val="0000EE"/>
            <w:u w:val="single"/>
          </w:rPr>
          <w:t>1:3–4</w:t>
        </w:r>
      </w:hyperlink>
      <w:r>
        <w:t>): el peligro inminente que representaban los falsos maestros lo obligó a escribir un tipo de carta muy diferente de la que había planeado.</w:t>
      </w:r>
    </w:p>
    <w:p>
      <w:r/>
      <w:r>
        <w:t xml:space="preserve">En </w:t>
      </w:r>
      <w:hyperlink r:id="rId21">
        <w:r>
          <w:rPr>
            <w:color w:val="0000EE"/>
            <w:u w:val="single"/>
          </w:rPr>
          <w:t>1:5–16</w:t>
        </w:r>
      </w:hyperlink>
      <w:r>
        <w:t xml:space="preserve">, Judas describe el carácter de estos falsos maestros. Esta sección se desarrolla en una secuencia </w:t>
      </w:r>
      <w:r>
        <w:rPr>
          <w:i/>
        </w:rPr>
        <w:t>A-B-A’</w:t>
      </w:r>
      <w:r>
        <w:t>. Judas primero utiliza tres ejemplos de las Escrituras para ilustrar la condena que enfrentan los falsos maestros (</w:t>
      </w:r>
      <w:r>
        <w:rPr>
          <w:i/>
        </w:rPr>
        <w:t>A,</w:t>
      </w:r>
      <w:hyperlink r:id="rId22">
        <w:r>
          <w:rPr>
            <w:color w:val="0000EE"/>
            <w:u w:val="single"/>
          </w:rPr>
          <w:t>1:5–10</w:t>
        </w:r>
      </w:hyperlink>
      <w:r>
        <w:t>). Luego cita tres ejemplos más de las Escrituras para criticarlos por sus actitudes y comportamientos impíos (</w:t>
      </w:r>
      <w:r>
        <w:rPr>
          <w:i/>
        </w:rPr>
        <w:t>B,</w:t>
      </w:r>
      <w:hyperlink r:id="rId23">
        <w:r>
          <w:rPr>
            <w:color w:val="0000EE"/>
            <w:u w:val="single"/>
          </w:rPr>
          <w:t>1:11–13</w:t>
        </w:r>
      </w:hyperlink>
      <w:r>
        <w:t>). Al final de esta sección, regresa a su condena, citando la tradición judía para reforzar su acusación (</w:t>
      </w:r>
      <w:r>
        <w:rPr>
          <w:i/>
        </w:rPr>
        <w:t>A’,</w:t>
      </w:r>
      <w:hyperlink r:id="rId24">
        <w:r>
          <w:rPr>
            <w:color w:val="0000EE"/>
            <w:u w:val="single"/>
          </w:rPr>
          <w:t>1:14–16</w:t>
        </w:r>
      </w:hyperlink>
      <w:r>
        <w:t>).</w:t>
      </w:r>
    </w:p>
    <w:p>
      <w:r/>
      <w:r>
        <w:t>A continuación Judas se dirige directamente a sus lectores (</w:t>
      </w:r>
      <w:hyperlink r:id="rId25">
        <w:r>
          <w:rPr>
            <w:color w:val="0000EE"/>
            <w:u w:val="single"/>
          </w:rPr>
          <w:t>1:17–23</w:t>
        </w:r>
      </w:hyperlink>
      <w:r>
        <w:t>), instándolos a mantenerse firmes en la verdad de Dios y a acercarse a los creyentes que podrían ser tentados a seguir a los falsos maestros. La carta concluye con una notable doxología (</w:t>
      </w:r>
      <w:hyperlink r:id="rId26">
        <w:r>
          <w:rPr>
            <w:color w:val="0000EE"/>
            <w:u w:val="single"/>
          </w:rPr>
          <w:t>1:24–25</w:t>
        </w:r>
      </w:hyperlink>
      <w:r>
        <w:t>).</w:t>
      </w:r>
    </w:p>
    <w:p>
      <w:pPr>
        <w:pStyle w:val="Heading1"/>
      </w:pPr>
      <w:r>
        <w:t>Autoría</w:t>
      </w:r>
    </w:p>
    <w:p>
      <w:r/>
      <w:r>
        <w:t>Judas se identifica como “un hermano de Jacobo” (</w:t>
      </w:r>
      <w:hyperlink r:id="rId27">
        <w:r>
          <w:rPr>
            <w:color w:val="0000EE"/>
            <w:u w:val="single"/>
          </w:rPr>
          <w:t>1:1</w:t>
        </w:r>
      </w:hyperlink>
      <w:r>
        <w:t>). Este Jacobo es casi con certeza el “hermano del Señor” (</w:t>
      </w:r>
      <w:hyperlink r:id="rId28">
        <w:r>
          <w:rPr>
            <w:color w:val="0000EE"/>
            <w:u w:val="single"/>
          </w:rPr>
          <w:t>Ga 1:19</w:t>
        </w:r>
      </w:hyperlink>
      <w:r>
        <w:t xml:space="preserve">; ver </w:t>
      </w:r>
      <w:hyperlink r:id="rId29">
        <w:r>
          <w:rPr>
            <w:color w:val="0000EE"/>
            <w:u w:val="single"/>
          </w:rPr>
          <w:t xml:space="preserve">Mt 13:55, </w:t>
        </w:r>
      </w:hyperlink>
      <w:hyperlink r:id="rId30">
        <w:r>
          <w:rPr>
            <w:color w:val="0000EE"/>
            <w:u w:val="single"/>
          </w:rPr>
          <w:t>Marcos 6:3</w:t>
        </w:r>
      </w:hyperlink>
      <w:r>
        <w:t>), quien se convirtió en el líder reconocido de la iglesia de Jerusalén (</w:t>
      </w:r>
      <w:hyperlink r:id="rId31">
        <w:r>
          <w:rPr>
            <w:color w:val="0000EE"/>
            <w:u w:val="single"/>
          </w:rPr>
          <w:t>Hechos 15:13–21,</w:t>
        </w:r>
      </w:hyperlink>
      <w:r>
        <w:t xml:space="preserve"> </w:t>
      </w:r>
      <w:hyperlink r:id="rId32">
        <w:r>
          <w:rPr>
            <w:color w:val="0000EE"/>
            <w:u w:val="single"/>
          </w:rPr>
          <w:t>21:18</w:t>
        </w:r>
      </w:hyperlink>
      <w:r>
        <w:t>) y escribió la carta de Jacobo. Por lo tanto, Judas también era hermano de Jesús (</w:t>
      </w:r>
      <w:hyperlink r:id="rId29">
        <w:r>
          <w:rPr>
            <w:color w:val="0000EE"/>
            <w:u w:val="single"/>
          </w:rPr>
          <w:t>Mt 13:55,</w:t>
        </w:r>
      </w:hyperlink>
      <w:r>
        <w:t xml:space="preserve"> </w:t>
      </w:r>
      <w:hyperlink r:id="rId30">
        <w:r>
          <w:rPr>
            <w:color w:val="0000EE"/>
            <w:u w:val="single"/>
          </w:rPr>
          <w:t>Marcos 6:3</w:t>
        </w:r>
      </w:hyperlink>
      <w:r>
        <w:t>). Judas y los otros hermanos de Jesús no siguieron a Jesús durante su ministerio terrenal (</w:t>
      </w:r>
      <w:hyperlink r:id="rId33">
        <w:r>
          <w:rPr>
            <w:color w:val="0000EE"/>
            <w:u w:val="single"/>
          </w:rPr>
          <w:t>Juan 7:5</w:t>
        </w:r>
      </w:hyperlink>
      <w:r>
        <w:t xml:space="preserve">), pero evidentemente se convirtieron en creyentes después de la Resurrección (ver </w:t>
      </w:r>
      <w:hyperlink r:id="rId34">
        <w:r>
          <w:rPr>
            <w:color w:val="0000EE"/>
            <w:u w:val="single"/>
          </w:rPr>
          <w:t>Hechos 1:14,</w:t>
        </w:r>
      </w:hyperlink>
      <w:r>
        <w:t xml:space="preserve"> </w:t>
      </w:r>
      <w:hyperlink r:id="rId35">
        <w:r>
          <w:rPr>
            <w:color w:val="0000EE"/>
            <w:u w:val="single"/>
          </w:rPr>
          <w:t>1 Co 15:7</w:t>
        </w:r>
      </w:hyperlink>
      <w:r>
        <w:t>) y viajaron para difundir el mensaje sobre el Señor resucitado (</w:t>
      </w:r>
      <w:hyperlink r:id="rId36">
        <w:r>
          <w:rPr>
            <w:color w:val="0000EE"/>
            <w:u w:val="single"/>
          </w:rPr>
          <w:t>1 Co 9:5</w:t>
        </w:r>
      </w:hyperlink>
      <w:r>
        <w:t>).</w:t>
      </w:r>
    </w:p>
    <w:p>
      <w:pPr>
        <w:pStyle w:val="Heading1"/>
      </w:pPr>
      <w:r>
        <w:t>Fecha y Lugar</w:t>
      </w:r>
    </w:p>
    <w:p>
      <w:r/>
      <w: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t>Introducción al Libro de 2 Pedro, “Relación con Judas”</w:t>
      </w:r>
      <w:r>
        <w:t>).</w:t>
      </w:r>
    </w:p>
    <w:p>
      <w:pPr>
        <w:pStyle w:val="Heading1"/>
      </w:pPr>
      <w:r>
        <w:t>Significado y Mensaje</w:t>
      </w:r>
    </w:p>
    <w:p>
      <w:r/>
      <w: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7">
        <w:r>
          <w:rPr>
            <w:color w:val="0000EE"/>
            <w:u w:val="single"/>
          </w:rPr>
          <w:t>1:5</w:t>
        </w:r>
      </w:hyperlink>
      <w:r>
        <w:t>), con los ángeles que se rebelaron contra Dios (</w:t>
      </w:r>
      <w:hyperlink r:id="rId38">
        <w:r>
          <w:rPr>
            <w:color w:val="0000EE"/>
            <w:u w:val="single"/>
          </w:rPr>
          <w:t>1:6</w:t>
        </w:r>
      </w:hyperlink>
      <w:r>
        <w:t>), y con los pecadores de Sodoma y Gomorra (</w:t>
      </w:r>
      <w:hyperlink r:id="rId39">
        <w:r>
          <w:rPr>
            <w:color w:val="0000EE"/>
            <w:u w:val="single"/>
          </w:rPr>
          <w:t>1:7</w:t>
        </w:r>
      </w:hyperlink>
      <w:r>
        <w:t xml:space="preserve">). Los falsos maestros son como Caín (ver </w:t>
      </w:r>
      <w:hyperlink r:id="rId40">
        <w:r>
          <w:rPr>
            <w:color w:val="0000EE"/>
            <w:u w:val="single"/>
          </w:rPr>
          <w:t>Gn 4</w:t>
        </w:r>
      </w:hyperlink>
      <w:r>
        <w:t xml:space="preserve">), Balaam (ver </w:t>
      </w:r>
      <w:hyperlink r:id="rId41">
        <w:r>
          <w:rPr>
            <w:color w:val="0000EE"/>
            <w:u w:val="single"/>
          </w:rPr>
          <w:t>Nm 22–24</w:t>
        </w:r>
      </w:hyperlink>
      <w:r>
        <w:t xml:space="preserve">), y Coré (ver </w:t>
      </w:r>
      <w:hyperlink r:id="rId42">
        <w:r>
          <w:rPr>
            <w:color w:val="0000EE"/>
            <w:u w:val="single"/>
          </w:rPr>
          <w:t>Nm 16</w:t>
        </w:r>
      </w:hyperlink>
      <w:r>
        <w:t>). Al igual que todos estos ejemplos, los falsos maestros son rebeldes contra el Señor y enfrentarán su juicio.</w:t>
      </w:r>
    </w:p>
    <w:p>
      <w:r/>
      <w:r>
        <w:t xml:space="preserve">Defendiendo la fe. En </w:t>
      </w:r>
      <w:hyperlink r:id="rId43">
        <w:r>
          <w:rPr>
            <w:color w:val="0000EE"/>
            <w:u w:val="single"/>
          </w:rPr>
          <w:t>1:3</w:t>
        </w:r>
      </w:hyperlink>
      <w:r>
        <w:t>, Judas sugiere que existe un mensaje central en la iglesia primitiva que sirve como fundamento para la creencia cristiana. Pablo comparte esta idea cuando exhorta a Timoteo “guarda lo que Dios te ha confiado” (</w:t>
      </w:r>
      <w:hyperlink r:id="rId44">
        <w:r>
          <w:rPr>
            <w:color w:val="0000EE"/>
            <w:u w:val="single"/>
          </w:rPr>
          <w:t>1 Tm 6:20,</w:t>
        </w:r>
      </w:hyperlink>
      <w:r>
        <w:t xml:space="preserve"> ver </w:t>
      </w:r>
      <w:hyperlink r:id="rId45">
        <w:r>
          <w:rPr>
            <w:color w:val="0000EE"/>
            <w:u w:val="single"/>
          </w:rPr>
          <w:t>2 Tm 1:14</w:t>
        </w:r>
      </w:hyperlink>
      <w:r>
        <w:t>).</w:t>
      </w:r>
    </w:p>
    <w:p>
      <w:r/>
      <w: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6">
        <w:r>
          <w:rPr>
            <w:color w:val="0000EE"/>
            <w:u w:val="single"/>
          </w:rPr>
          <w:t>1 Tm 3:16</w:t>
        </w:r>
      </w:hyperlink>
      <w:r>
        <w:t>). Estos credos a menudo se elaboraban para contrarrestar enseñanzas falsas.</w:t>
      </w:r>
    </w:p>
    <w:p>
      <w:r/>
      <w: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