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w:t>
      </w:r>
      <w:r>
        <w:rPr>
          <w:lang w:val="fr_FR" w:bidi="fr_FR"/>
        </w:rPr>
      </w:r>
    </w:p>
    <w:p>
      <w:pPr/>
      <w:r>
        <w:rPr>
          <w:lang w:val="fr_FR" w:bidi="fr_FR"/>
        </w:rPr>
      </w:r>
      <w:r>
        <w:rPr>
          <w:lang w:val="fr_FR" w:bidi="fr_FR"/>
        </w:rP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2"/>
      </w:pPr>
      <w:r>
        <w:rPr>
          <w:lang w:val="fr_FR" w:bidi="fr_FR"/>
        </w:rPr>
        <w:t>Contexte</w:t>
      </w:r>
    </w:p>
    <w:p>
      <w:pPr/>
      <w:r>
        <w:rPr>
          <w:lang w:val="fr_FR" w:bidi="fr_FR"/>
        </w:rPr>
      </w:r>
      <w:r>
        <w:rPr>
          <w:lang w:val="fr_FR" w:bidi="fr_FR"/>
        </w:rP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pPr/>
      <w:r>
        <w:rPr>
          <w:lang w:val="fr_FR" w:bidi="fr_FR"/>
        </w:rPr>
      </w:r>
      <w:r>
        <w:rPr>
          <w:lang w:val="fr_FR" w:bidi="fr_FR"/>
        </w:rPr>
        <w:t xml:space="preserve">Pendant leur servitude en Égypte, les Israélites avaient adopté de nombreuses notions et coutumes païennes de leurs maîtres égyptiens (voir </w:t>
      </w:r>
      <w:hyperlink r:id="rId13">
        <w:r>
          <w:rPr>
            <w:lang w:val="fr_FR" w:bidi="fr_FR"/>
          </w:rPr>
          <w:rPr>
            <w:color w:val="0000EE"/>
            <w:u w:val="single"/>
          </w:rPr>
          <w:t>Ex 32.1–4</w:t>
        </w:r>
      </w:hyperlink>
      <w:r>
        <w:rPr>
          <w:lang w:val="fr_FR" w:bidi="fr_FR"/>
        </w:rP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pPr/>
      <w:r>
        <w:rPr>
          <w:lang w:val="fr_FR" w:bidi="fr_FR"/>
        </w:rPr>
      </w:r>
      <w:r>
        <w:rPr>
          <w:lang w:val="fr_FR" w:bidi="fr_FR"/>
        </w:rP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2"/>
      </w:pPr>
      <w:r>
        <w:rPr>
          <w:lang w:val="fr_FR" w:bidi="fr_FR"/>
        </w:rPr>
        <w:t>Résumé</w:t>
      </w:r>
    </w:p>
    <w:p>
      <w:pPr/>
      <w:r>
        <w:rPr>
          <w:lang w:val="fr_FR" w:bidi="fr_FR"/>
        </w:rPr>
      </w:r>
      <w:r>
        <w:rPr>
          <w:lang w:val="fr_FR" w:bidi="fr_FR"/>
        </w:rP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pPr/>
      <w:r>
        <w:rPr>
          <w:lang w:val="fr_FR" w:bidi="fr_FR"/>
        </w:rPr>
      </w:r>
      <w:r>
        <w:rPr>
          <w:lang w:val="fr_FR" w:bidi="fr_FR"/>
        </w:rPr>
        <w:t xml:space="preserve">Excepté la première, chaque section de la Genèse commence par la mention « Voici la postérité (les origines) » (ou </w:t>
      </w:r>
      <w:r>
        <w:rPr>
          <w:i/>
          <w:lang w:val="fr_FR" w:bidi="fr_FR"/>
        </w:rPr>
        <w:t>Voici les générations</w:t>
      </w:r>
      <w:r>
        <w:rPr>
          <w:lang w:val="fr_FR" w:bidi="fr_FR"/>
        </w:rP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pPr/>
      <w:r>
        <w:rPr>
          <w:lang w:val="fr_FR" w:bidi="fr_FR"/>
        </w:rPr>
      </w:r>
      <w:r>
        <w:rPr>
          <w:lang w:val="fr_FR" w:bidi="fr_FR"/>
        </w:rPr>
        <w:t>La première section (</w:t>
      </w:r>
      <w:hyperlink r:id="rId14">
        <w:r>
          <w:rPr>
            <w:lang w:val="fr_FR" w:bidi="fr_FR"/>
          </w:rPr>
          <w:rPr>
            <w:color w:val="0000EE"/>
            <w:u w:val="single"/>
          </w:rPr>
          <w:t>1.1–2.3</w:t>
        </w:r>
      </w:hyperlink>
      <w:r>
        <w:rPr>
          <w:lang w:val="fr_FR" w:bidi="fr_FR"/>
        </w:rPr>
        <w:t>) n'a pas de titre toledoth ; c'est le récit de la création « au commencement » (</w:t>
      </w:r>
      <w:hyperlink r:id="rId15">
        <w:r>
          <w:rPr>
            <w:lang w:val="fr_FR" w:bidi="fr_FR"/>
          </w:rPr>
          <w:rPr>
            <w:color w:val="0000EE"/>
            <w:u w:val="single"/>
          </w:rPr>
          <w:t>1.1</w:t>
        </w:r>
      </w:hyperlink>
      <w:r>
        <w:rPr>
          <w:lang w:val="fr_FR" w:bidi="fr_FR"/>
        </w:rPr>
        <w:t>). L'œuvre de la création est couverte de l'approbation et de la bénédiction de Dieu alors qu'il accomplit son plan.</w:t>
      </w:r>
    </w:p>
    <w:p>
      <w:pPr/>
      <w:r>
        <w:rPr>
          <w:lang w:val="fr_FR" w:bidi="fr_FR"/>
        </w:rPr>
      </w:r>
      <w:r>
        <w:rPr>
          <w:lang w:val="fr_FR" w:bidi="fr_FR"/>
        </w:rPr>
        <w:t>La section suivante (</w:t>
      </w:r>
      <w:hyperlink r:id="rId16">
        <w:r>
          <w:rPr>
            <w:lang w:val="fr_FR" w:bidi="fr_FR"/>
          </w:rPr>
          <w:rPr>
            <w:color w:val="0000EE"/>
            <w:u w:val="single"/>
          </w:rPr>
          <w:t>2.4–4.26</w:t>
        </w:r>
      </w:hyperlink>
      <w:r>
        <w:rPr>
          <w:lang w:val="fr_FR" w:bidi="fr_FR"/>
        </w:rPr>
        <w:t>) porte sur la création de la vie humaine (</w:t>
      </w:r>
      <w:hyperlink r:id="rId17">
        <w:r>
          <w:rPr>
            <w:lang w:val="fr_FR" w:bidi="fr_FR"/>
          </w:rPr>
          <w:rPr>
            <w:color w:val="0000EE"/>
            <w:u w:val="single"/>
          </w:rPr>
          <w:t>2.4–25</w:t>
        </w:r>
      </w:hyperlink>
      <w:r>
        <w:rPr>
          <w:lang w:val="fr_FR" w:bidi="fr_FR"/>
        </w:rPr>
        <w:t>) et retrace ce qu'il est advenu de la création de Dieu à cause du péché d'Adam et d'Ève (</w:t>
      </w:r>
      <w:hyperlink r:id="rId18">
        <w:r>
          <w:rPr>
            <w:lang w:val="fr_FR" w:bidi="fr_FR"/>
          </w:rPr>
          <w:rPr>
            <w:color w:val="0000EE"/>
            <w:u w:val="single"/>
          </w:rPr>
          <w:t>3.1–13</w:t>
        </w:r>
      </w:hyperlink>
      <w:r>
        <w:rPr>
          <w:lang w:val="fr_FR" w:bidi="fr_FR"/>
        </w:rPr>
        <w:t>), de la malédiction sur leur péché (</w:t>
      </w:r>
      <w:hyperlink r:id="rId19">
        <w:r>
          <w:rPr>
            <w:lang w:val="fr_FR" w:bidi="fr_FR"/>
          </w:rPr>
          <w:rPr>
            <w:color w:val="0000EE"/>
            <w:u w:val="single"/>
          </w:rPr>
          <w:t>3.14–24</w:t>
        </w:r>
      </w:hyperlink>
      <w:r>
        <w:rPr>
          <w:lang w:val="fr_FR" w:bidi="fr_FR"/>
        </w:rPr>
        <w:t>) et de l'extension de ce péché à leurs descendants (</w:t>
      </w:r>
      <w:hyperlink r:id="rId20">
        <w:r>
          <w:rPr>
            <w:lang w:val="fr_FR" w:bidi="fr_FR"/>
          </w:rPr>
          <w:rPr>
            <w:color w:val="0000EE"/>
            <w:u w:val="single"/>
          </w:rPr>
          <w:t>4.1–24</w:t>
        </w:r>
      </w:hyperlink>
      <w:r>
        <w:rPr>
          <w:lang w:val="fr_FR" w:bidi="fr_FR"/>
        </w:rPr>
        <w:t>). L'humanité ne jouit plus du repos de Dieu ; son lot est plutôt celui de la culpabilité et de la peur. Les êtres humains fuient donc Dieu et développent une civilisation marquée par l'orgueil.</w:t>
      </w:r>
    </w:p>
    <w:p>
      <w:pPr/>
      <w:r>
        <w:rPr>
          <w:lang w:val="fr_FR" w:bidi="fr_FR"/>
        </w:rPr>
      </w:r>
      <w:r>
        <w:rPr>
          <w:lang w:val="fr_FR" w:bidi="fr_FR"/>
        </w:rPr>
        <w:t>L'indépendance vis-à-vis de Dieu entraîne la décadence humaine (</w:t>
      </w:r>
      <w:hyperlink r:id="rId21">
        <w:r>
          <w:rPr>
            <w:lang w:val="fr_FR" w:bidi="fr_FR"/>
          </w:rPr>
          <w:rPr>
            <w:color w:val="0000EE"/>
            <w:u w:val="single"/>
          </w:rPr>
          <w:t>5.1–6.8</w:t>
        </w:r>
      </w:hyperlink>
      <w:r>
        <w:rPr>
          <w:lang w:val="fr_FR" w:bidi="fr_FR"/>
        </w:rPr>
        <w:t xml:space="preserve">). La généalogie de </w:t>
      </w:r>
      <w:hyperlink r:id="rId22">
        <w:r>
          <w:rPr>
            <w:lang w:val="fr_FR" w:bidi="fr_FR"/>
          </w:rPr>
          <w:rPr>
            <w:color w:val="0000EE"/>
            <w:u w:val="single"/>
          </w:rPr>
          <w:t>5.1–32</w:t>
        </w:r>
      </w:hyperlink>
      <w:r>
        <w:rPr>
          <w:lang w:val="fr_FR" w:bidi="fr_FR"/>
        </w:rPr>
        <w:t xml:space="preserve"> commence par rappeler que les êtres humains ont été créés à l'image de Dieu et ont été bénis par lui (</w:t>
      </w:r>
      <w:hyperlink r:id="rId23">
        <w:r>
          <w:rPr>
            <w:lang w:val="fr_FR" w:bidi="fr_FR"/>
          </w:rPr>
          <w:rPr>
            <w:color w:val="0000EE"/>
            <w:u w:val="single"/>
          </w:rPr>
          <w:t>5.1–2</w:t>
        </w:r>
      </w:hyperlink>
      <w:r>
        <w:rPr>
          <w:lang w:val="fr_FR" w:bidi="fr_FR"/>
        </w:rPr>
        <w:t xml:space="preserve">). Tout au long de la généalogie, la mort de chaque génération rappelle au lecteur la malédiction, Hénoch faisant naître une lueur d'espoir qu'elle n'est pas définitive. En </w:t>
      </w:r>
      <w:hyperlink r:id="rId24">
        <w:r>
          <w:rPr>
            <w:lang w:val="fr_FR" w:bidi="fr_FR"/>
          </w:rPr>
          <w:rPr>
            <w:color w:val="0000EE"/>
            <w:u w:val="single"/>
          </w:rPr>
          <w:t>6.1–8</w:t>
        </w:r>
      </w:hyperlink>
      <w:r>
        <w:rPr>
          <w:lang w:val="fr_FR" w:bidi="fr_FR"/>
        </w:rPr>
        <w:t>, nous apprenons comment Dieu, regrettant d'avoir créé les êtres humains, décide de juger la terre. Pourtant, Noé reçoit la faveur de Dieu et devient une source d'espoir (</w:t>
      </w:r>
      <w:hyperlink r:id="rId25">
        <w:r>
          <w:rPr>
            <w:lang w:val="fr_FR" w:bidi="fr_FR"/>
          </w:rPr>
          <w:rPr>
            <w:color w:val="0000EE"/>
            <w:u w:val="single"/>
          </w:rPr>
          <w:t>5.29</w:t>
        </w:r>
      </w:hyperlink>
      <w:r>
        <w:rPr>
          <w:lang w:val="fr_FR" w:bidi="fr_FR"/>
        </w:rPr>
        <w:t xml:space="preserve"> ; </w:t>
      </w:r>
      <w:hyperlink r:id="rId26">
        <w:r>
          <w:rPr>
            <w:lang w:val="fr_FR" w:bidi="fr_FR"/>
          </w:rPr>
          <w:rPr>
            <w:color w:val="0000EE"/>
            <w:u w:val="single"/>
          </w:rPr>
          <w:t>6.8</w:t>
        </w:r>
      </w:hyperlink>
      <w:r>
        <w:rPr>
          <w:lang w:val="fr_FR" w:bidi="fr_FR"/>
        </w:rPr>
        <w:t>).</w:t>
      </w:r>
    </w:p>
    <w:p>
      <w:pPr/>
      <w:r>
        <w:rPr>
          <w:lang w:val="fr_FR" w:bidi="fr_FR"/>
        </w:rPr>
      </w:r>
      <w:r>
        <w:rPr>
          <w:lang w:val="fr_FR" w:bidi="fr_FR"/>
        </w:rPr>
        <w:t>La section suivante (</w:t>
      </w:r>
      <w:hyperlink r:id="rId27">
        <w:r>
          <w:rPr>
            <w:lang w:val="fr_FR" w:bidi="fr_FR"/>
          </w:rPr>
          <w:rPr>
            <w:color w:val="0000EE"/>
            <w:u w:val="single"/>
          </w:rPr>
          <w:t>6.9–9.29</w:t>
        </w:r>
      </w:hyperlink>
      <w:r>
        <w:rPr>
          <w:lang w:val="fr_FR" w:bidi="fr_FR"/>
        </w:rPr>
        <w:t>) relaie la malédiction du jugement à travers le déluge, suivie d'une bénédiction par un nouveau départ. La création a été renouvelée, purgée du mal abominable qui avait envahi et détruit la race humaine.</w:t>
      </w:r>
    </w:p>
    <w:p>
      <w:pPr/>
      <w:r>
        <w:rPr>
          <w:lang w:val="fr_FR" w:bidi="fr_FR"/>
        </w:rPr>
      </w:r>
      <w:r>
        <w:rPr>
          <w:lang w:val="fr_FR" w:bidi="fr_FR"/>
        </w:rPr>
        <w:t>Mais à mesure que la population mondiale augmente et s'étend en devenant diverses nations (</w:t>
      </w:r>
      <w:hyperlink r:id="rId28">
        <w:r>
          <w:rPr>
            <w:lang w:val="fr_FR" w:bidi="fr_FR"/>
          </w:rPr>
          <w:rPr>
            <w:color w:val="0000EE"/>
            <w:u w:val="single"/>
          </w:rPr>
          <w:t>10.1–11.9</w:t>
        </w:r>
      </w:hyperlink>
      <w:r>
        <w:rPr>
          <w:lang w:val="fr_FR" w:bidi="fr_FR"/>
        </w:rPr>
        <w:t>), les êtres humains montrent à nouveau leur disposition à la désobéissance. À cause de leur rébellion, Dieu les disperse pour éviter qu'une plus grande impiété ne se répande (</w:t>
      </w:r>
      <w:hyperlink r:id="rId29">
        <w:r>
          <w:rPr>
            <w:lang w:val="fr_FR" w:bidi="fr_FR"/>
          </w:rPr>
          <w:rPr>
            <w:color w:val="0000EE"/>
            <w:u w:val="single"/>
          </w:rPr>
          <w:t>11.1–9</w:t>
        </w:r>
      </w:hyperlink>
      <w:r>
        <w:rPr>
          <w:lang w:val="fr_FR" w:bidi="fr_FR"/>
        </w:rPr>
        <w:t>).</w:t>
      </w:r>
    </w:p>
    <w:p>
      <w:pPr/>
      <w:r>
        <w:rPr>
          <w:lang w:val="fr_FR" w:bidi="fr_FR"/>
        </w:rPr>
      </w:r>
      <w:r>
        <w:rPr>
          <w:lang w:val="fr_FR" w:bidi="fr_FR"/>
        </w:rPr>
        <w:t xml:space="preserve">Après le chaos des nations dispersées, </w:t>
      </w:r>
      <w:hyperlink r:id="rId30">
        <w:r>
          <w:rPr>
            <w:lang w:val="fr_FR" w:bidi="fr_FR"/>
          </w:rPr>
          <w:rPr>
            <w:color w:val="0000EE"/>
            <w:u w:val="single"/>
          </w:rPr>
          <w:t>11.10–26</w:t>
        </w:r>
      </w:hyperlink>
      <w:r>
        <w:rPr>
          <w:lang w:val="fr_FR" w:bidi="fr_FR"/>
        </w:rPr>
        <w:t xml:space="preserve"> ramène notre attention sur Abram, par l'intermédiaire duquel Dieu choisit d'apporter la bénédiction à tous. Le reste du livre (</w:t>
      </w:r>
      <w:hyperlink r:id="rId31">
        <w:r>
          <w:rPr>
            <w:lang w:val="fr_FR" w:bidi="fr_FR"/>
          </w:rPr>
          <w:rPr>
            <w:color w:val="0000EE"/>
            <w:u w:val="single"/>
          </w:rPr>
          <w:t>11.27–50.26</w:t>
        </w:r>
      </w:hyperlink>
      <w:r>
        <w:rPr>
          <w:lang w:val="fr_FR" w:bidi="fr_FR"/>
        </w:rPr>
        <w:t>) parle de la bénédiction divine sur lui et sur ses descendants. Dieu fait d'abord une alliance avec lui (</w:t>
      </w:r>
      <w:hyperlink r:id="rId32">
        <w:r>
          <w:rPr>
            <w:lang w:val="fr_FR" w:bidi="fr_FR"/>
          </w:rPr>
          <w:rPr>
            <w:color w:val="0000EE"/>
            <w:u w:val="single"/>
          </w:rPr>
          <w:t>11.27–25.11</w:t>
        </w:r>
      </w:hyperlink>
      <w:r>
        <w:rPr>
          <w:lang w:val="fr_FR" w:bidi="fr_FR"/>
        </w:rPr>
        <w:t>), lui promettant qu'il ferait de lui une grande nation, qu'il lui donnerait une terre, et qu'il rendrait son nom grand. Au fil du temps, Dieu clarifie les termes spécifiques de l'alliance, et la foi d'Abram s'approfondit.</w:t>
      </w:r>
    </w:p>
    <w:p>
      <w:pPr/>
      <w:r>
        <w:rPr>
          <w:lang w:val="fr_FR" w:bidi="fr_FR"/>
        </w:rPr>
      </w:r>
      <w:r>
        <w:rPr>
          <w:lang w:val="fr_FR" w:bidi="fr_FR"/>
        </w:rPr>
        <w:t>Alors que le livre de la Genèse traite de chaque génération, il donne une brève description des familles qui ne font pas partie de l'ascendance d'Israël, avant de se tourner vers sa lignée. Par exemple, après avoir brièvement rapporté ce qui arrive à Ismaël (</w:t>
      </w:r>
      <w:hyperlink r:id="rId33">
        <w:r>
          <w:rPr>
            <w:lang w:val="fr_FR" w:bidi="fr_FR"/>
          </w:rPr>
          <w:rPr>
            <w:color w:val="0000EE"/>
            <w:u w:val="single"/>
          </w:rPr>
          <w:t>25.12–18</w:t>
        </w:r>
      </w:hyperlink>
      <w:r>
        <w:rPr>
          <w:lang w:val="fr_FR" w:bidi="fr_FR"/>
        </w:rPr>
        <w:t>), la Genèse retrace en détail ce qui arrive à Isaac et à sa famille (</w:t>
      </w:r>
      <w:hyperlink r:id="rId34">
        <w:r>
          <w:rPr>
            <w:lang w:val="fr_FR" w:bidi="fr_FR"/>
          </w:rPr>
          <w:rPr>
            <w:color w:val="0000EE"/>
            <w:u w:val="single"/>
          </w:rPr>
          <w:t>25.19–35.29</w:t>
        </w:r>
      </w:hyperlink>
      <w:r>
        <w:rPr>
          <w:lang w:val="fr_FR" w:bidi="fr_FR"/>
        </w:rPr>
        <w:t>). De même, la lignée d'Ésaü (Édom) reçoit un bref traitement (</w:t>
      </w:r>
      <w:hyperlink r:id="rId35">
        <w:r>
          <w:rPr>
            <w:lang w:val="fr_FR" w:bidi="fr_FR"/>
          </w:rPr>
          <w:rPr>
            <w:color w:val="0000EE"/>
            <w:u w:val="single"/>
          </w:rPr>
          <w:t>36.1–37.1</w:t>
        </w:r>
      </w:hyperlink>
      <w:r>
        <w:rPr>
          <w:lang w:val="fr_FR" w:bidi="fr_FR"/>
        </w:rPr>
        <w:t>) avant la longue section finale traitant de la lignée choisie de Jacob, l'héritier (</w:t>
      </w:r>
      <w:hyperlink r:id="rId36">
        <w:r>
          <w:rPr>
            <w:lang w:val="fr_FR" w:bidi="fr_FR"/>
          </w:rPr>
          <w:rPr>
            <w:color w:val="0000EE"/>
            <w:u w:val="single"/>
          </w:rPr>
          <w:t>37.2–50.26</w:t>
        </w:r>
      </w:hyperlink>
      <w:r>
        <w:rPr>
          <w:lang w:val="fr_FR" w:bidi="fr_FR"/>
        </w:rPr>
        <w:t>).</w:t>
      </w:r>
    </w:p>
    <w:p>
      <w:pPr/>
      <w:r>
        <w:rPr>
          <w:lang w:val="fr_FR" w:bidi="fr_FR"/>
        </w:rPr>
      </w:r>
      <w:r>
        <w:rPr>
          <w:lang w:val="fr_FR" w:bidi="fr_FR"/>
        </w:rP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hyperlink r:id="rId37">
        <w:r>
          <w:rPr>
            <w:lang w:val="fr_FR" w:bidi="fr_FR"/>
          </w:rPr>
          <w:rPr>
            <w:color w:val="0000EE"/>
            <w:u w:val="single"/>
          </w:rPr>
          <w:t>50.24–26</w:t>
        </w:r>
      </w:hyperlink>
      <w:r>
        <w:rPr>
          <w:lang w:val="fr_FR" w:bidi="fr_FR"/>
        </w:rPr>
        <w:t>).</w:t>
      </w:r>
    </w:p>
    <w:p>
      <w:pPr>
        <w:pStyle w:val="Heading2"/>
      </w:pPr>
      <w:r>
        <w:rPr>
          <w:lang w:val="fr_FR" w:bidi="fr_FR"/>
        </w:rPr>
        <w:t>Paternité littéraire</w:t>
      </w:r>
    </w:p>
    <w:p>
      <w:pPr/>
      <w:r>
        <w:rPr>
          <w:lang w:val="fr_FR" w:bidi="fr_FR"/>
        </w:rPr>
      </w:r>
      <w:r>
        <w:rPr>
          <w:lang w:val="fr_FR" w:bidi="fr_FR"/>
        </w:rP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lang w:val="fr_FR" w:bidi="fr_FR"/>
        </w:rPr>
        <w:t>hypothèse documentaire,</w:t>
      </w:r>
      <w:r>
        <w:rPr>
          <w:lang w:val="fr_FR" w:bidi="fr_FR"/>
        </w:rP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pPr/>
      <w:r>
        <w:rPr>
          <w:lang w:val="fr_FR" w:bidi="fr_FR"/>
        </w:rPr>
      </w:r>
      <w:r>
        <w:rPr>
          <w:lang w:val="fr_FR" w:bidi="fr_FR"/>
        </w:rPr>
        <w:t>Cependant, les Écritures et la tradition attribuent toutes les deux le Pentateuque à Moïse. Celui-ci, éduqué dans toute la sagesse des Égyptiens (</w:t>
      </w:r>
      <w:hyperlink r:id="rId38">
        <w:r>
          <w:rPr>
            <w:lang w:val="fr_FR" w:bidi="fr_FR"/>
          </w:rPr>
          <w:rPr>
            <w:color w:val="0000EE"/>
            <w:u w:val="single"/>
          </w:rPr>
          <w:t>Ac 7.22</w:t>
        </w:r>
      </w:hyperlink>
      <w:r>
        <w:rPr>
          <w:lang w:val="fr_FR" w:bidi="fr_FR"/>
        </w:rP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pPr/>
      <w:r>
        <w:rPr>
          <w:lang w:val="fr_FR" w:bidi="fr_FR"/>
        </w:rPr>
      </w:r>
      <w:r>
        <w:rPr>
          <w:lang w:val="fr_FR" w:bidi="fr_FR"/>
        </w:rPr>
        <w:t xml:space="preserve">Il est possible que Moïse ait servi de source fondamentale au matériau que l'on retrouve dans le Pentateuque, et que des ajustements rédactionnels aient été effectués ultérieurement (notamment le récit de sa mort, </w:t>
      </w:r>
      <w:hyperlink r:id="rId39">
        <w:r>
          <w:rPr>
            <w:lang w:val="fr_FR" w:bidi="fr_FR"/>
          </w:rPr>
          <w:rPr>
            <w:color w:val="0000EE"/>
            <w:u w:val="single"/>
          </w:rPr>
          <w:t>Dt 34</w:t>
        </w:r>
      </w:hyperlink>
      <w:r>
        <w:rPr>
          <w:lang w:val="fr_FR" w:bidi="fr_FR"/>
        </w:rPr>
        <w:t>). Quoi qu'il en soit, les Israélites ont accepté le Pentateuque comme portant toute la force de l'autorité de Moïse.</w:t>
      </w:r>
    </w:p>
    <w:p>
      <w:pPr>
        <w:pStyle w:val="Heading2"/>
      </w:pPr>
      <w:r>
        <w:rPr>
          <w:lang w:val="fr_FR" w:bidi="fr_FR"/>
        </w:rPr>
        <w:t>Composition</w:t>
      </w:r>
    </w:p>
    <w:p>
      <w:pPr/>
      <w:r>
        <w:rPr>
          <w:lang w:val="fr_FR" w:bidi="fr_FR"/>
        </w:rPr>
      </w:r>
      <w:r>
        <w:rPr>
          <w:lang w:val="fr_FR" w:bidi="fr_FR"/>
        </w:rP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pPr/>
      <w:r>
        <w:rPr>
          <w:lang w:val="fr_FR" w:bidi="fr_FR"/>
        </w:rPr>
      </w:r>
      <w:r>
        <w:rPr>
          <w:lang w:val="fr_FR" w:bidi="fr_FR"/>
        </w:rPr>
        <w:t xml:space="preserve">La Genèse inclut également des passages et des expressions correspondant clairement à des gloses éditoriales ultérieures. Certaines sections (comme la liste des rois édomites, </w:t>
      </w:r>
      <w:hyperlink r:id="rId40">
        <w:r>
          <w:rPr>
            <w:lang w:val="fr_FR" w:bidi="fr_FR"/>
          </w:rPr>
          <w:rPr>
            <w:color w:val="0000EE"/>
            <w:u w:val="single"/>
          </w:rPr>
          <w:t>36.31–43</w:t>
        </w:r>
      </w:hyperlink>
      <w:r>
        <w:rPr>
          <w:lang w:val="fr_FR" w:bidi="fr_FR"/>
        </w:rP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2"/>
      </w:pPr>
      <w:r>
        <w:rPr>
          <w:lang w:val="fr_FR" w:bidi="fr_FR"/>
        </w:rPr>
        <w:t>Nature littéraire</w:t>
      </w:r>
    </w:p>
    <w:p>
      <w:pPr/>
      <w:r>
        <w:rPr>
          <w:lang w:val="fr_FR" w:bidi="fr_FR"/>
        </w:rPr>
      </w:r>
      <w:r>
        <w:rPr>
          <w:lang w:val="fr_FR" w:bidi="fr_FR"/>
        </w:rPr>
        <w:t>La Genèse inclut différents types de littérature. Plusieurs suggestions ont été faites quant à la nature du contenu varié qui compose ce livre.</w:t>
      </w:r>
    </w:p>
    <w:p>
      <w:pPr/>
      <w:r>
        <w:rPr>
          <w:lang w:val="fr_FR" w:bidi="fr_FR"/>
        </w:rPr>
      </w:r>
      <w:r>
        <w:rPr>
          <w:lang w:val="fr_FR" w:bidi="fr_FR"/>
        </w:rP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hyperlink r:id="rId41">
        <w:r>
          <w:rPr>
            <w:lang w:val="fr_FR" w:bidi="fr_FR"/>
          </w:rPr>
          <w:rPr>
            <w:color w:val="0000EE"/>
            <w:u w:val="single"/>
          </w:rPr>
          <w:t>Gn 38.15</w:t>
        </w:r>
      </w:hyperlink>
      <w:r>
        <w:rPr>
          <w:lang w:val="fr_FR" w:bidi="fr_FR"/>
        </w:rPr>
        <w:t xml:space="preserve">, </w:t>
      </w:r>
      <w:hyperlink r:id="rId42">
        <w:r>
          <w:rPr>
            <w:lang w:val="fr_FR" w:bidi="fr_FR"/>
          </w:rPr>
          <w:rPr>
            <w:color w:val="0000EE"/>
            <w:u w:val="single"/>
          </w:rPr>
          <w:t>21–22</w:t>
        </w:r>
      </w:hyperlink>
      <w:r>
        <w:rPr>
          <w:lang w:val="fr_FR" w:bidi="fr_FR"/>
        </w:rPr>
        <w:t>).</w:t>
      </w:r>
    </w:p>
    <w:p>
      <w:pPr/>
      <w:r>
        <w:rPr>
          <w:lang w:val="fr_FR" w:bidi="fr_FR"/>
        </w:rPr>
      </w:r>
      <w:r>
        <w:rPr>
          <w:lang w:val="fr_FR" w:bidi="fr_FR"/>
        </w:rP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pPr/>
      <w:r>
        <w:rPr>
          <w:lang w:val="fr_FR" w:bidi="fr_FR"/>
        </w:rPr>
      </w:r>
      <w:r>
        <w:rPr>
          <w:lang w:val="fr_FR" w:bidi="fr_FR"/>
        </w:rP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hyperlink r:id="rId43">
        <w:r>
          <w:rPr>
            <w:lang w:val="fr_FR" w:bidi="fr_FR"/>
          </w:rPr>
          <w:rPr>
            <w:color w:val="0000EE"/>
            <w:u w:val="single"/>
          </w:rPr>
          <w:t>1.14–18</w:t>
        </w:r>
      </w:hyperlink>
      <w:r>
        <w:rPr>
          <w:lang w:val="fr_FR" w:bidi="fr_FR"/>
        </w:rPr>
        <w:t>). Le livre de la Genèse est semblable à un cimetière de mythes sans vie et de dieux morts.</w:t>
      </w:r>
    </w:p>
    <w:p>
      <w:pPr/>
      <w:r>
        <w:rPr>
          <w:lang w:val="fr_FR" w:bidi="fr_FR"/>
        </w:rPr>
      </w:r>
      <w:r>
        <w:rPr>
          <w:lang w:val="fr_FR" w:bidi="fr_FR"/>
        </w:rP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pPr/>
      <w:r>
        <w:rPr>
          <w:lang w:val="fr_FR" w:bidi="fr_FR"/>
        </w:rPr>
      </w:r>
      <w:r>
        <w:rPr>
          <w:lang w:val="fr_FR" w:bidi="fr_FR"/>
        </w:rPr>
        <w:t xml:space="preserve">Des éléments étiologiques se retrouvent effectivement dans la Genèse, car ce livre donne les bases et la justification de presque tout ce qu'Israël fera par la suite. Par exemple, le récit de la création de </w:t>
      </w:r>
      <w:hyperlink r:id="rId44">
        <w:r>
          <w:rPr>
            <w:lang w:val="fr_FR" w:bidi="fr_FR"/>
          </w:rPr>
          <w:rPr>
            <w:color w:val="0000EE"/>
            <w:u w:val="single"/>
          </w:rPr>
          <w:t>Genèse 2</w:t>
        </w:r>
      </w:hyperlink>
      <w:r>
        <w:rPr>
          <w:lang w:val="fr_FR" w:bidi="fr_FR"/>
        </w:rP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pPr/>
      <w:r>
        <w:rPr>
          <w:lang w:val="fr_FR" w:bidi="fr_FR"/>
        </w:rPr>
      </w:r>
      <w:r>
        <w:rPr>
          <w:lang w:val="fr_FR" w:bidi="fr_FR"/>
        </w:rP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pPr/>
      <w:r>
        <w:rPr>
          <w:lang w:val="fr_FR" w:bidi="fr_FR"/>
        </w:rPr>
      </w:r>
      <w:r>
        <w:rPr>
          <w:lang w:val="fr_FR" w:bidi="fr_FR"/>
        </w:rP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pPr/>
      <w:r>
        <w:rPr>
          <w:lang w:val="fr_FR" w:bidi="fr_FR"/>
        </w:rPr>
      </w:r>
      <w:r>
        <w:rPr>
          <w:lang w:val="fr_FR" w:bidi="fr_FR"/>
        </w:rP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pPr/>
      <w:r>
        <w:rPr>
          <w:lang w:val="fr_FR" w:bidi="fr_FR"/>
        </w:rPr>
      </w:r>
      <w:r>
        <w:rPr>
          <w:lang w:val="fr_FR" w:bidi="fr_FR"/>
        </w:rP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pPr/>
      <w:r>
        <w:rPr>
          <w:lang w:val="fr_FR" w:bidi="fr_FR"/>
        </w:rPr>
      </w:r>
      <w:r>
        <w:rPr>
          <w:lang w:val="fr_FR" w:bidi="fr_FR"/>
        </w:rP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pPr/>
      <w:r>
        <w:rPr>
          <w:lang w:val="fr_FR" w:bidi="fr_FR"/>
        </w:rPr>
      </w:r>
      <w:r>
        <w:rPr>
          <w:lang w:val="fr_FR" w:bidi="fr_FR"/>
        </w:rP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2"/>
      </w:pPr>
      <w:r>
        <w:rPr>
          <w:lang w:val="fr_FR" w:bidi="fr_FR"/>
        </w:rPr>
        <w:t>Signification et message</w:t>
      </w:r>
    </w:p>
    <w:p>
      <w:pPr/>
      <w:r>
        <w:rPr>
          <w:lang w:val="fr_FR" w:bidi="fr_FR"/>
        </w:rPr>
      </w:r>
      <w:r>
        <w:rPr>
          <w:lang w:val="fr_FR" w:bidi="fr_FR"/>
        </w:rP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pPr/>
      <w:r>
        <w:rPr>
          <w:lang w:val="fr_FR" w:bidi="fr_FR"/>
        </w:rPr>
      </w:r>
      <w:r>
        <w:rPr>
          <w:lang w:val="fr_FR" w:bidi="fr_FR"/>
        </w:rP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pPr/>
      <w:r>
        <w:rPr>
          <w:lang w:val="fr_FR" w:bidi="fr_FR"/>
        </w:rPr>
      </w:r>
      <w:r>
        <w:rPr>
          <w:lang w:val="fr_FR" w:bidi="fr_FR"/>
        </w:rPr>
        <w:t>Israël a ainsi pu identifier son ascendance au patriarche Abraham et sa destinée aux promesses divines (</w:t>
      </w:r>
      <w:hyperlink r:id="rId45">
        <w:r>
          <w:rPr>
            <w:lang w:val="fr_FR" w:bidi="fr_FR"/>
          </w:rPr>
          <w:rPr>
            <w:color w:val="0000EE"/>
            <w:u w:val="single"/>
          </w:rPr>
          <w:t>12.1–3</w:t>
        </w:r>
      </w:hyperlink>
      <w:r>
        <w:rPr>
          <w:lang w:val="fr_FR" w:bidi="fr_FR"/>
        </w:rPr>
        <w:t xml:space="preserve"> ; </w:t>
      </w:r>
      <w:hyperlink r:id="rId46">
        <w:r>
          <w:rPr>
            <w:lang w:val="fr_FR" w:bidi="fr_FR"/>
          </w:rPr>
          <w:rPr>
            <w:color w:val="0000EE"/>
            <w:u w:val="single"/>
          </w:rPr>
          <w:t>15.1–21</w:t>
        </w:r>
      </w:hyperlink>
      <w:r>
        <w:rPr>
          <w:lang w:val="fr_FR" w:bidi="fr_FR"/>
        </w:rPr>
        <w:t xml:space="preserve"> ; </w:t>
      </w:r>
      <w:hyperlink r:id="rId47">
        <w:r>
          <w:rPr>
            <w:lang w:val="fr_FR" w:bidi="fr_FR"/>
          </w:rPr>
          <w:rPr>
            <w:color w:val="0000EE"/>
            <w:u w:val="single"/>
          </w:rPr>
          <w:t>17.1–8</w:t>
        </w:r>
      </w:hyperlink>
      <w:r>
        <w:rPr>
          <w:lang w:val="fr_FR" w:bidi="fr_FR"/>
        </w:rP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pPr/>
      <w:r>
        <w:rPr>
          <w:lang w:val="fr_FR" w:bidi="fr_FR"/>
        </w:rPr>
      </w:r>
      <w:r>
        <w:rPr>
          <w:lang w:val="fr_FR" w:bidi="fr_FR"/>
        </w:rP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pPr/>
      <w:r>
        <w:rPr>
          <w:lang w:val="fr_FR" w:bidi="fr_FR"/>
        </w:rPr>
      </w:r>
      <w:r>
        <w:rPr>
          <w:lang w:val="fr_FR" w:bidi="fr_FR"/>
        </w:rP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pPr/>
      <w:r>
        <w:rPr>
          <w:lang w:val="fr_FR" w:bidi="fr_FR"/>
        </w:rPr>
      </w:r>
      <w:r>
        <w:rPr>
          <w:lang w:val="fr_FR" w:bidi="fr_FR"/>
        </w:rP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hyperlink r:id="rId48">
        <w:r>
          <w:rPr>
            <w:lang w:val="fr_FR" w:bidi="fr_FR"/>
          </w:rPr>
          <w:rPr>
            <w:color w:val="0000EE"/>
            <w:u w:val="single"/>
          </w:rPr>
          <w:t>Rm 8.28</w:t>
        </w:r>
      </w:hyperlink>
      <w:r>
        <w:rPr>
          <w:lang w:val="fr_FR" w:bidi="fr_FR"/>
        </w:rPr>
        <w:t>).</w:t>
      </w:r>
    </w:p>
    <w:p>
      <w:pPr/>
      <w:r>
        <w:rPr>
          <w:lang w:val="fr_FR" w:bidi="fr_FR"/>
        </w:rPr>
      </w:r>
      <w:r>
        <w:rPr>
          <w:lang w:val="fr_FR" w:bidi="fr_FR"/>
        </w:rP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pPr/>
      <w:r>
        <w:rPr>
          <w:lang w:val="fr_FR" w:bidi="fr_FR"/>
        </w:rPr>
      </w:r>
      <w:r>
        <w:rPr>
          <w:lang w:val="fr_FR" w:bidi="fr_FR"/>
        </w:rP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hyperlink r:id="rId49">
        <w:r>
          <w:rPr>
            <w:lang w:val="fr_FR" w:bidi="fr_FR"/>
          </w:rPr>
          <w:rPr>
            <w:color w:val="0000EE"/>
            <w:u w:val="single"/>
          </w:rPr>
          <w:t>Hé 11.6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