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يوحَنَّا</w:t>
      </w:r>
      <w:r>
        <w:rPr>
          <w:rtl/>
          <w:cs/>
          <w:lang w:val="ar_AE" w:bidi="ar_AE"/>
        </w:rPr>
      </w:r>
    </w:p>
    <w:p>
      <w:pPr>
        <w:bidi/>
      </w:pPr>
      <w:r>
        <w:rPr>
          <w:rtl/>
          <w:cs/>
          <w:lang w:val="ar_AE" w:bidi="ar_AE"/>
        </w:rPr>
      </w:r>
      <w:r>
        <w:rPr>
          <w:rtl/>
          <w:cs/>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rtl/>
          <w:cs/>
          <w:lang w:val="ar_AE" w:bidi="ar_AE"/>
        </w:rPr>
        <w:t>سِياقُ الرِّسَالَةِ</w:t>
      </w:r>
    </w:p>
    <w:p>
      <w:pPr>
        <w:bidi/>
      </w:pPr>
      <w:r>
        <w:rPr>
          <w:rtl/>
          <w:cs/>
          <w:lang w:val="ar_AE" w:bidi="ar_AE"/>
        </w:rPr>
      </w:r>
      <w:r>
        <w:rPr>
          <w:rtl/>
          <w:cs/>
          <w:lang w:val="ar_AE" w:bidi="ar_AE"/>
        </w:rPr>
        <w:t>إن سياقَ الرِّسَالَةِ الثَّانِيةِ للرَّسُولِ يوحَنَّا البَشِيرِ يشبه سياقَ رِسَالَتِهِ الأُولَى، انْظُرْ (</w:t>
      </w:r>
      <w:r>
        <w:rPr>
          <w:rtl/>
          <w:cs/>
          <w:lang w:val="ar_AE" w:bidi="ar_AE"/>
        </w:rPr>
        <w:t>مقدمة 1 يوحَنَّا، "سِياقُ الرِّسَالَةِ"</w:t>
      </w:r>
      <w:r>
        <w:rPr>
          <w:rtl/>
          <w:cs/>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rtl/>
          <w:cs/>
          <w:lang w:val="ar_AE" w:bidi="ar_AE"/>
        </w:rPr>
        <w:t xml:space="preserve">مُوجَزُ الرِّسَالَةِ </w:t>
      </w:r>
    </w:p>
    <w:p>
      <w:pPr>
        <w:bidi/>
      </w:pPr>
      <w:r>
        <w:rPr>
          <w:rtl/>
          <w:cs/>
          <w:lang w:val="ar_AE" w:bidi="ar_AE"/>
        </w:rPr>
      </w:r>
      <w:r>
        <w:rPr>
          <w:rtl/>
          <w:cs/>
          <w:lang w:val="ar_AE" w:bidi="ar_AE"/>
        </w:rPr>
        <w:t>تبدأُ هذه الرِّسَالَةُ الشَّخْصِيةُ بِتَحِيَّةٍ (</w:t>
      </w:r>
      <w:hyperlink r:id="rId13">
        <w:r>
          <w:rPr>
            <w:rtl/>
            <w:cs/>
            <w:lang w:val="ar_AE" w:bidi="ar_AE"/>
          </w:rPr>
          <w:rPr>
            <w:color w:val="0000EE"/>
            <w:u w:val="single"/>
          </w:rPr>
          <w:t>1:1–3</w:t>
        </w:r>
      </w:hyperlink>
      <w:r>
        <w:rPr>
          <w:rtl/>
          <w:cs/>
          <w:lang w:val="ar_AE" w:bidi="ar_AE"/>
        </w:rPr>
        <w:t>) ثم تؤكِّد بالنص على رغبات الرَّسُول يوحَنَّا (</w:t>
      </w:r>
      <w:hyperlink r:id="rId14">
        <w:r>
          <w:rPr>
            <w:rtl/>
            <w:cs/>
            <w:lang w:val="ar_AE" w:bidi="ar_AE"/>
          </w:rPr>
          <w:rPr>
            <w:color w:val="0000EE"/>
            <w:u w:val="single"/>
          </w:rPr>
          <w:t>1:4–11</w:t>
        </w:r>
      </w:hyperlink>
      <w:r>
        <w:rPr>
          <w:rtl/>
          <w:cs/>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rtl/>
          <w:cs/>
          <w:lang w:val="ar_AE" w:bidi="ar_AE"/>
        </w:rPr>
        <w:t>كَاتِبُ الرِّسَالَةِ</w:t>
      </w:r>
    </w:p>
    <w:p>
      <w:pPr>
        <w:bidi/>
      </w:pPr>
      <w:r>
        <w:rPr>
          <w:rtl/>
          <w:cs/>
          <w:lang w:val="ar_AE" w:bidi="ar_AE"/>
        </w:rPr>
      </w:r>
      <w:r>
        <w:rPr>
          <w:rtl/>
          <w:cs/>
          <w:lang w:val="ar_AE" w:bidi="ar_AE"/>
        </w:rPr>
        <w:t>يعتَقِدُ بعضُ العلماء أن يوحَنَّا الكاتِبَ لهذِهِ الرِّسَالَةِ (</w:t>
      </w:r>
      <w:hyperlink r:id="rId15">
        <w:r>
          <w:rPr>
            <w:rtl/>
            <w:cs/>
            <w:lang w:val="ar_AE" w:bidi="ar_AE"/>
          </w:rPr>
          <w:rPr>
            <w:color w:val="0000EE"/>
            <w:u w:val="single"/>
          </w:rPr>
          <w:t>1:1</w:t>
        </w:r>
      </w:hyperlink>
      <w:r>
        <w:rPr>
          <w:rtl/>
          <w:cs/>
          <w:lang w:val="ar_AE" w:bidi="ar_AE"/>
        </w:rPr>
        <w:t>) هو شخصٌ مختَلِفٌ عن الرَّسُول يوحَنَّا البَشِيرِ، إلا أنَّ هناك أسبابًا قويَّةً تؤكِّد في النهاية على أن الرَّسُول يوحَنَّا هو من كَتَبَ هذه الرِّسَالَةَ، انْظُرْ (</w:t>
      </w:r>
      <w:r>
        <w:rPr>
          <w:rtl/>
          <w:cs/>
          <w:lang w:val="ar_AE" w:bidi="ar_AE"/>
        </w:rPr>
        <w:t>مقدِّمَة 1 يوحَنَّا، "كاتبُ الرِّسَالَةِ"</w:t>
      </w:r>
      <w:r>
        <w:rPr>
          <w:rtl/>
          <w:cs/>
          <w:lang w:val="ar_AE" w:bidi="ar_AE"/>
        </w:rPr>
        <w:t>).</w:t>
      </w:r>
    </w:p>
    <w:p>
      <w:pPr>
        <w:pStyle w:val="Heading2"/>
        <w:bidi/>
      </w:pPr>
      <w:r>
        <w:rPr>
          <w:rtl/>
          <w:cs/>
          <w:lang w:val="ar_AE" w:bidi="ar_AE"/>
        </w:rPr>
        <w:t>مُتَلَقُّو الرِّسَالَةِ</w:t>
      </w:r>
    </w:p>
    <w:p>
      <w:pPr>
        <w:bidi/>
      </w:pPr>
      <w:r>
        <w:rPr>
          <w:rtl/>
          <w:cs/>
          <w:lang w:val="ar_AE" w:bidi="ar_AE"/>
        </w:rPr>
      </w:r>
      <w:r>
        <w:rPr>
          <w:rtl/>
          <w:cs/>
          <w:lang w:val="ar_AE" w:bidi="ar_AE"/>
        </w:rPr>
        <w:t>تم تحديد المُتَلَقُّين لرِسَالَةِ الرَّسُولِ يوحَنَّا الثَّانِية على أنهم "</w:t>
      </w:r>
      <w:r>
        <w:rPr>
          <w:rtl/>
          <w:cs/>
          <w:lang w:val="ar_AE" w:bidi="ar_AE"/>
        </w:rPr>
        <w:t>كِيرِيَّةَ ٱلْمُخْتَارَةِ ... وَأَوْلَادِهَا"</w:t>
      </w:r>
      <w:r>
        <w:rPr>
          <w:rtl/>
          <w:cs/>
          <w:lang w:val="ar_AE" w:bidi="ar_AE"/>
        </w:rPr>
        <w:t xml:space="preserve"> (</w:t>
      </w:r>
      <w:hyperlink r:id="rId15">
        <w:r>
          <w:rPr>
            <w:rtl/>
            <w:cs/>
            <w:lang w:val="ar_AE" w:bidi="ar_AE"/>
          </w:rPr>
          <w:rPr>
            <w:color w:val="0000EE"/>
            <w:u w:val="single"/>
          </w:rPr>
          <w:t>1:1</w:t>
        </w:r>
      </w:hyperlink>
      <w:r>
        <w:rPr>
          <w:rtl/>
          <w:cs/>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hyperlink r:id="rId16">
        <w:r>
          <w:rPr>
            <w:rtl/>
            <w:cs/>
            <w:lang w:val="ar_AE" w:bidi="ar_AE"/>
          </w:rPr>
          <w:rPr>
            <w:color w:val="0000EE"/>
            <w:u w:val="single"/>
          </w:rPr>
          <w:t>1 بطرس 5:13</w:t>
        </w:r>
      </w:hyperlink>
      <w:r>
        <w:rPr>
          <w:rtl/>
          <w:cs/>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rtl/>
          <w:cs/>
          <w:lang w:val="ar_AE" w:bidi="ar_AE"/>
        </w:rPr>
        <w:t>مَضْمُون ومَغْزَى الرِّسَالَةِ</w:t>
      </w:r>
    </w:p>
    <w:p>
      <w:pPr>
        <w:bidi/>
      </w:pPr>
      <w:r>
        <w:rPr>
          <w:rtl/>
          <w:cs/>
          <w:lang w:val="ar_AE" w:bidi="ar_AE"/>
        </w:rPr>
      </w:r>
      <w:r>
        <w:rPr>
          <w:rtl/>
          <w:cs/>
          <w:lang w:val="ar_AE" w:bidi="ar_AE"/>
        </w:rPr>
        <w:t>تنطوي الرِّسَالَةُ الثَّانِية للرَّسُولِ يوحَنَّا البَشِيرِ على أَمْرَيْن. أولاً، يَتَعَيَّنُ على أعضاء الجماعة المسيحيَّة أن يحبُّوا بعضَهم البعضَ (</w:t>
      </w:r>
      <w:hyperlink r:id="rId17">
        <w:r>
          <w:rPr>
            <w:rtl/>
            <w:cs/>
            <w:lang w:val="ar_AE" w:bidi="ar_AE"/>
          </w:rPr>
          <w:rPr>
            <w:color w:val="0000EE"/>
            <w:u w:val="single"/>
          </w:rPr>
          <w:t>1:5</w:t>
        </w:r>
      </w:hyperlink>
      <w:r>
        <w:rPr>
          <w:rtl/>
          <w:cs/>
          <w:lang w:val="ar_AE" w:bidi="ar_AE"/>
        </w:rPr>
        <w:t>). على أن تمْتَثِلُ هذه المحبَّة العملية لوصايا الرَّبِّ يَسوع (</w:t>
      </w:r>
      <w:hyperlink r:id="rId18">
        <w:r>
          <w:rPr>
            <w:rtl/>
            <w:cs/>
            <w:lang w:val="ar_AE" w:bidi="ar_AE"/>
          </w:rPr>
          <w:rPr>
            <w:color w:val="0000EE"/>
            <w:u w:val="single"/>
          </w:rPr>
          <w:t>1:6</w:t>
        </w:r>
      </w:hyperlink>
      <w:r>
        <w:rPr>
          <w:rtl/>
          <w:cs/>
          <w:lang w:val="ar_AE" w:bidi="ar_AE"/>
        </w:rPr>
        <w:t>). ثانيًا، يُحَذِّر الرَّسُولُ يوحَنَّا الكنيسةَ من المعلمين الكَذَبَةِ الذين يجب فضحُ أفكارهم، وتجنُّبُهم، وعدمُ التَّرحِيبِ بهم.</w:t>
      </w:r>
    </w:p>
    <w:p>
      <w:pPr>
        <w:bidi/>
      </w:pPr>
      <w:r>
        <w:rPr>
          <w:rtl/>
          <w:cs/>
          <w:lang w:val="ar_AE" w:bidi="ar_AE"/>
        </w:rPr>
      </w:r>
      <w:r>
        <w:rPr>
          <w:rtl/>
          <w:cs/>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hyperlink r:id="rId19">
        <w:r>
          <w:rPr>
            <w:rtl/>
            <w:cs/>
            <w:lang w:val="ar_AE" w:bidi="ar_AE"/>
          </w:rPr>
          <w:rPr>
            <w:color w:val="0000EE"/>
            <w:u w:val="single"/>
          </w:rPr>
          <w:t>غَلاطِيَّة 1:6</w:t>
        </w:r>
      </w:hyperlink>
      <w:r>
        <w:rPr>
          <w:rtl/>
          <w:cs/>
          <w:lang w:val="ar_AE" w:bidi="ar_AE"/>
        </w:rPr>
        <w:t>)، وأهل كُولُوسِّي (</w:t>
      </w:r>
      <w:hyperlink r:id="rId20">
        <w:r>
          <w:rPr>
            <w:rtl/>
            <w:cs/>
            <w:lang w:val="ar_AE" w:bidi="ar_AE"/>
          </w:rPr>
          <w:rPr>
            <w:color w:val="0000EE"/>
            <w:u w:val="single"/>
          </w:rPr>
          <w:t>كُولُوسِّي 2:16–23</w:t>
        </w:r>
      </w:hyperlink>
      <w:r>
        <w:rPr>
          <w:rtl/>
          <w:cs/>
          <w:lang w:val="ar_AE" w:bidi="ar_AE"/>
        </w:rPr>
        <w:t>)، وأهل تَسالُونِيكي وخاصة الرِّسَالَة الثَّانِية (</w:t>
      </w:r>
      <w:hyperlink r:id="rId21">
        <w:r>
          <w:rPr>
            <w:rtl/>
            <w:cs/>
            <w:lang w:val="ar_AE" w:bidi="ar_AE"/>
          </w:rPr>
          <w:rPr>
            <w:color w:val="0000EE"/>
            <w:u w:val="single"/>
          </w:rPr>
          <w:t>2 تَسالُونِيكي 2:1–3</w:t>
        </w:r>
      </w:hyperlink>
      <w:r>
        <w:rPr>
          <w:rtl/>
          <w:cs/>
          <w:lang w:val="ar_AE" w:bidi="ar_AE"/>
        </w:rPr>
        <w:t>)، وإلى تلميذِهِ تيموثاوس، وخاصة الرِّسَالَة الأُولَى (</w:t>
      </w:r>
      <w:hyperlink r:id="rId22">
        <w:r>
          <w:rPr>
            <w:rtl/>
            <w:cs/>
            <w:lang w:val="ar_AE" w:bidi="ar_AE"/>
          </w:rPr>
          <w:rPr>
            <w:color w:val="0000EE"/>
            <w:u w:val="single"/>
          </w:rPr>
          <w:t>1 تيموثاوس 4:1</w:t>
        </w:r>
      </w:hyperlink>
      <w:r>
        <w:rPr>
          <w:rtl/>
          <w:cs/>
          <w:lang w:val="ar_AE" w:bidi="ar_AE"/>
        </w:rPr>
        <w:t xml:space="preserve">؛ </w:t>
      </w:r>
      <w:hyperlink r:id="rId23">
        <w:r>
          <w:rPr>
            <w:rtl/>
            <w:cs/>
            <w:lang w:val="ar_AE" w:bidi="ar_AE"/>
          </w:rPr>
          <w:rPr>
            <w:color w:val="0000EE"/>
            <w:u w:val="single"/>
          </w:rPr>
          <w:t>6:20–21</w:t>
        </w:r>
      </w:hyperlink>
      <w:r>
        <w:rPr>
          <w:rtl/>
          <w:cs/>
          <w:lang w:val="ar_AE" w:bidi="ar_AE"/>
        </w:rPr>
        <w:t>). وبالمثلِ، كَتَبَ الرَّسُولُ بُطْرُس رِسَالَتَهُ الثَّانِيةُ لمواجهة المعلمين الكَذَبَةِ (</w:t>
      </w:r>
      <w:hyperlink r:id="rId24">
        <w:r>
          <w:rPr>
            <w:rtl/>
            <w:cs/>
            <w:lang w:val="ar_AE" w:bidi="ar_AE"/>
          </w:rPr>
          <w:rPr>
            <w:color w:val="0000EE"/>
            <w:u w:val="single"/>
          </w:rPr>
          <w:t>2 بُطْرُس 2:1–22</w:t>
        </w:r>
      </w:hyperlink>
      <w:r>
        <w:rPr>
          <w:rtl/>
          <w:cs/>
          <w:lang w:val="ar_AE" w:bidi="ar_AE"/>
        </w:rPr>
        <w:t>)، ولِنفس السَّبَبِ، كَتَبَ يهوذا أَخُو يعقوب رِسَالَتَهُ (</w:t>
      </w:r>
      <w:hyperlink r:id="rId25">
        <w:r>
          <w:rPr>
            <w:rtl/>
            <w:cs/>
            <w:lang w:val="ar_AE" w:bidi="ar_AE"/>
          </w:rPr>
          <w:rPr>
            <w:color w:val="0000EE"/>
            <w:u w:val="single"/>
          </w:rPr>
          <w:t>يهوذا 1:3–4</w:t>
        </w:r>
      </w:hyperlink>
      <w:r>
        <w:rPr>
          <w:rtl/>
          <w:cs/>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