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rPr>
          <w:lang w:val="fr_FR" w:bidi="fr_FR"/>
        </w:rPr>
        <w:t>Car je suis l’Éternel, votre Dieu ; … vous serez saints, car je suis saint</w:t>
      </w:r>
      <w:r>
        <w:rPr>
          <w:lang w:val="fr_FR" w:bidi="fr_FR"/>
        </w:rPr>
        <w:t xml:space="preserve"> » (</w:t>
      </w:r>
      <w:hyperlink r:id="rId13">
        <w:r>
          <w:rPr>
            <w:lang w:val="fr_FR" w:bidi="fr_FR"/>
          </w:rPr>
          <w:rPr>
            <w:color w:val="0000EE"/>
            <w:u w:val="single"/>
          </w:rPr>
          <w:t>Lv 11.44–45</w:t>
        </w:r>
      </w:hyperlink>
      <w:r>
        <w:rPr>
          <w:lang w:val="fr_FR" w:bidi="fr_FR"/>
        </w:rPr>
        <w:t xml:space="preserve"> ; </w:t>
      </w:r>
      <w:hyperlink r:id="rId14">
        <w:r>
          <w:rPr>
            <w:lang w:val="fr_FR" w:bidi="fr_FR"/>
          </w:rPr>
          <w:rPr>
            <w:color w:val="0000EE"/>
            <w:u w:val="single"/>
          </w:rPr>
          <w:t>1P 1.15–16</w:t>
        </w:r>
      </w:hyperlink>
      <w:r>
        <w:rPr>
          <w:lang w:val="fr_FR" w:bidi="fr_FR"/>
        </w:rPr>
        <w:t>).</w:t>
      </w:r>
    </w:p>
    <w:p>
      <w:pPr>
        <w:pStyle w:val="Heading2"/>
      </w:pPr>
      <w:r>
        <w:rPr>
          <w:lang w:val="fr_FR" w:bidi="fr_FR"/>
        </w:rPr>
        <w:t>Contexte</w:t>
      </w:r>
    </w:p>
    <w:p>
      <w:pPr/>
      <w:r>
        <w:rPr>
          <w:lang w:val="fr_FR" w:bidi="fr_FR"/>
        </w:rPr>
      </w:r>
      <w:r>
        <w:rPr>
          <w:lang w:val="fr_FR" w:bidi="fr_FR"/>
        </w:rPr>
        <w:t>Le Lévitique s’inscrit dans la continuité du récit de la rédemption, amorcé par les promesses faites à Abraham (</w:t>
      </w:r>
      <w:hyperlink r:id="rId15">
        <w:r>
          <w:rPr>
            <w:lang w:val="fr_FR" w:bidi="fr_FR"/>
          </w:rPr>
          <w:rPr>
            <w:color w:val="0000EE"/>
            <w:u w:val="single"/>
          </w:rPr>
          <w:t>Gn 12</w:t>
        </w:r>
      </w:hyperlink>
      <w:r>
        <w:rPr>
          <w:lang w:val="fr_FR" w:bidi="fr_FR"/>
        </w:rPr>
        <w:t xml:space="preserve">, </w:t>
      </w:r>
      <w:hyperlink r:id="rId16">
        <w:r>
          <w:rPr>
            <w:lang w:val="fr_FR" w:bidi="fr_FR"/>
          </w:rPr>
          <w:rPr>
            <w:color w:val="0000EE"/>
            <w:u w:val="single"/>
          </w:rPr>
          <w:t>15</w:t>
        </w:r>
      </w:hyperlink>
      <w:r>
        <w:rPr>
          <w:lang w:val="fr_FR" w:bidi="fr_FR"/>
        </w:rPr>
        <w:t xml:space="preserve">, </w:t>
      </w:r>
      <w:hyperlink r:id="rId17">
        <w:r>
          <w:rPr>
            <w:lang w:val="fr_FR" w:bidi="fr_FR"/>
          </w:rPr>
          <w:rPr>
            <w:color w:val="0000EE"/>
            <w:u w:val="single"/>
          </w:rPr>
          <w:t>17</w:t>
        </w:r>
      </w:hyperlink>
      <w:r>
        <w:rPr>
          <w:lang w:val="fr_FR" w:bidi="fr_FR"/>
        </w:rPr>
        <w:t>) et la libération des Israélites de l’esclavage en Égypte (</w:t>
      </w:r>
      <w:hyperlink r:id="rId18">
        <w:r>
          <w:rPr>
            <w:lang w:val="fr_FR" w:bidi="fr_FR"/>
          </w:rPr>
          <w:rPr>
            <w:color w:val="0000EE"/>
            <w:u w:val="single"/>
          </w:rPr>
          <w:t>Ex 1–15</w:t>
        </w:r>
      </w:hyperlink>
      <w:r>
        <w:rPr>
          <w:lang w:val="fr_FR" w:bidi="fr_FR"/>
        </w:rP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hyperlink r:id="rId19">
        <w:r>
          <w:rPr>
            <w:lang w:val="fr_FR" w:bidi="fr_FR"/>
          </w:rPr>
          <w:rPr>
            <w:color w:val="0000EE"/>
            <w:u w:val="single"/>
          </w:rPr>
          <w:t>Ex 19.5–6</w:t>
        </w:r>
      </w:hyperlink>
      <w:r>
        <w:rPr>
          <w:lang w:val="fr_FR" w:bidi="fr_FR"/>
        </w:rPr>
        <w:t>). Le peuple d’Israël avait reçu les Dix Commandements (</w:t>
      </w:r>
      <w:hyperlink r:id="rId20">
        <w:r>
          <w:rPr>
            <w:lang w:val="fr_FR" w:bidi="fr_FR"/>
          </w:rPr>
          <w:rPr>
            <w:color w:val="0000EE"/>
            <w:u w:val="single"/>
          </w:rPr>
          <w:t>Ex 20.1–17</w:t>
        </w:r>
      </w:hyperlink>
      <w:r>
        <w:rPr>
          <w:lang w:val="fr_FR" w:bidi="fr_FR"/>
        </w:rPr>
        <w:t>), les plans pour le Tabernacle (</w:t>
      </w:r>
      <w:hyperlink r:id="rId21">
        <w:r>
          <w:rPr>
            <w:lang w:val="fr_FR" w:bidi="fr_FR"/>
          </w:rPr>
          <w:rPr>
            <w:color w:val="0000EE"/>
            <w:u w:val="single"/>
          </w:rPr>
          <w:t xml:space="preserve">Ex 25–27 </w:t>
        </w:r>
      </w:hyperlink>
      <w:r>
        <w:rPr>
          <w:lang w:val="fr_FR" w:bidi="fr_FR"/>
        </w:rPr>
        <w:t xml:space="preserve">; </w:t>
      </w:r>
      <w:hyperlink r:id="rId22">
        <w:r>
          <w:rPr>
            <w:lang w:val="fr_FR" w:bidi="fr_FR"/>
          </w:rPr>
          <w:rPr>
            <w:color w:val="0000EE"/>
            <w:u w:val="single"/>
          </w:rPr>
          <w:t>30.1–38</w:t>
        </w:r>
      </w:hyperlink>
      <w:r>
        <w:rPr>
          <w:lang w:val="fr_FR" w:bidi="fr_FR"/>
        </w:rPr>
        <w:t>), et les instructions concernant l’institution du sacerdoce (</w:t>
      </w:r>
      <w:hyperlink r:id="rId23">
        <w:r>
          <w:rPr>
            <w:lang w:val="fr_FR" w:bidi="fr_FR"/>
          </w:rPr>
          <w:rPr>
            <w:color w:val="0000EE"/>
            <w:u w:val="single"/>
          </w:rPr>
          <w:t>Ex 28–29</w:t>
        </w:r>
      </w:hyperlink>
      <w:r>
        <w:rPr>
          <w:lang w:val="fr_FR" w:bidi="fr_FR"/>
        </w:rPr>
        <w:t>). Le Tabernacle avait été achevé et consacré (</w:t>
      </w:r>
      <w:hyperlink r:id="rId24">
        <w:r>
          <w:rPr>
            <w:lang w:val="fr_FR" w:bidi="fr_FR"/>
          </w:rPr>
          <w:rPr>
            <w:color w:val="0000EE"/>
            <w:u w:val="single"/>
          </w:rPr>
          <w:t>Ex 35–40</w:t>
        </w:r>
      </w:hyperlink>
      <w:r>
        <w:rPr>
          <w:lang w:val="fr_FR" w:bidi="fr_FR"/>
        </w:rPr>
        <w:t>). Désormais, dans le Lévitique, Dieu s’adresse à Moïse au sujet de sa propre nature sainte et lui transmet des instructions précises sur le culte et la conduite appropriée à tenir par Israël en tant que peuple de son alliance.</w:t>
      </w:r>
    </w:p>
    <w:p>
      <w:pPr>
        <w:pStyle w:val="Heading2"/>
      </w:pPr>
      <w:r>
        <w:rPr>
          <w:lang w:val="fr_FR" w:bidi="fr_FR"/>
        </w:rPr>
        <w:t>Résumé</w:t>
      </w:r>
    </w:p>
    <w:p>
      <w:pPr/>
      <w:r>
        <w:rPr>
          <w:lang w:val="fr_FR" w:bidi="fr_FR"/>
        </w:rPr>
      </w:r>
      <w:r>
        <w:rPr>
          <w:lang w:val="fr_FR" w:bidi="fr_FR"/>
        </w:rPr>
        <w:t xml:space="preserve">Les instructions du Lévitique portent principalement sur les fonctions et les responsabilités de la tribu sacerdotale de Lévi, en particulier de celles du grand prêtre (voir </w:t>
      </w:r>
      <w:hyperlink r:id="rId25">
        <w:r>
          <w:rPr>
            <w:lang w:val="fr_FR" w:bidi="fr_FR"/>
          </w:rPr>
          <w:rPr>
            <w:color w:val="0000EE"/>
            <w:u w:val="single"/>
          </w:rPr>
          <w:t>Ex 28</w:t>
        </w:r>
      </w:hyperlink>
      <w:r>
        <w:rPr>
          <w:lang w:val="fr_FR" w:bidi="fr_FR"/>
        </w:rPr>
        <w:t xml:space="preserve"> ; </w:t>
      </w:r>
      <w:hyperlink r:id="rId26">
        <w:r>
          <w:rPr>
            <w:lang w:val="fr_FR" w:bidi="fr_FR"/>
          </w:rPr>
          <w:rPr>
            <w:color w:val="0000EE"/>
            <w:u w:val="single"/>
          </w:rPr>
          <w:t>Nb 3.44–4.49</w:t>
        </w:r>
      </w:hyperlink>
      <w:r>
        <w:rPr>
          <w:lang w:val="fr_FR" w:bidi="fr_FR"/>
        </w:rP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pPr/>
      <w:r>
        <w:rPr>
          <w:lang w:val="fr_FR" w:bidi="fr_FR"/>
        </w:rPr>
      </w:r>
      <w:r>
        <w:rPr>
          <w:lang w:val="fr_FR" w:bidi="fr_FR"/>
        </w:rP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pPr/>
      <w:r>
        <w:rPr>
          <w:lang w:val="fr_FR" w:bidi="fr_FR"/>
        </w:rPr>
      </w:r>
      <w:r>
        <w:rPr>
          <w:lang w:val="fr_FR" w:bidi="fr_FR"/>
        </w:rPr>
        <w:t xml:space="preserve">Dieu appelle Israël à le connaître et à l’aimer (voir </w:t>
      </w:r>
      <w:hyperlink r:id="rId27">
        <w:r>
          <w:rPr>
            <w:lang w:val="fr_FR" w:bidi="fr_FR"/>
          </w:rPr>
          <w:rPr>
            <w:color w:val="0000EE"/>
            <w:u w:val="single"/>
          </w:rPr>
          <w:t>Dt 6.5</w:t>
        </w:r>
      </w:hyperlink>
      <w:r>
        <w:rPr>
          <w:lang w:val="fr_FR" w:bidi="fr_FR"/>
        </w:rPr>
        <w:t xml:space="preserve"> ; </w:t>
      </w:r>
      <w:hyperlink r:id="rId28">
        <w:r>
          <w:rPr>
            <w:lang w:val="fr_FR" w:bidi="fr_FR"/>
          </w:rPr>
          <w:rPr>
            <w:color w:val="0000EE"/>
            <w:u w:val="single"/>
          </w:rPr>
          <w:t>11.1</w:t>
        </w:r>
      </w:hyperlink>
      <w:r>
        <w:rPr>
          <w:lang w:val="fr_FR" w:bidi="fr_FR"/>
        </w:rPr>
        <w:t>). En réponse, le peuple est aussi appelé à s’aimer et à se servir mutuellement (</w:t>
      </w:r>
      <w:hyperlink r:id="rId29">
        <w:r>
          <w:rPr>
            <w:lang w:val="fr_FR" w:bidi="fr_FR"/>
          </w:rPr>
          <w:rPr>
            <w:color w:val="0000EE"/>
            <w:u w:val="single"/>
          </w:rPr>
          <w:t>19.18</w:t>
        </w:r>
      </w:hyperlink>
      <w:r>
        <w:rPr>
          <w:lang w:val="fr_FR" w:bidi="fr_FR"/>
        </w:rPr>
        <w:t xml:space="preserve">, </w:t>
      </w:r>
      <w:hyperlink r:id="rId30">
        <w:r>
          <w:rPr>
            <w:lang w:val="fr_FR" w:bidi="fr_FR"/>
          </w:rPr>
          <w:rPr>
            <w:color w:val="0000EE"/>
            <w:u w:val="single"/>
          </w:rPr>
          <w:t>33–34</w:t>
        </w:r>
      </w:hyperlink>
      <w:r>
        <w:rPr>
          <w:lang w:val="fr_FR" w:bidi="fr_FR"/>
        </w:rPr>
        <w:t>). Les rites et les prescriptions du Lévitique enseignent aux Israélites comment incarner cet amour et ce service, tant sur le plan individuel que collectif, en tant que nation.</w:t>
      </w:r>
    </w:p>
    <w:p>
      <w:pPr>
        <w:pStyle w:val="Heading2"/>
      </w:pPr>
      <w:r>
        <w:rPr>
          <w:lang w:val="fr_FR" w:bidi="fr_FR"/>
        </w:rPr>
        <w:t>Auteur</w:t>
      </w:r>
    </w:p>
    <w:p>
      <w:pPr/>
      <w:r>
        <w:rPr>
          <w:lang w:val="fr_FR" w:bidi="fr_FR"/>
        </w:rPr>
      </w:r>
      <w:r>
        <w:rPr>
          <w:lang w:val="fr_FR" w:bidi="fr_FR"/>
        </w:rP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pPr/>
      <w:r>
        <w:rPr>
          <w:lang w:val="fr_FR" w:bidi="fr_FR"/>
        </w:rPr>
      </w:r>
      <w:r>
        <w:rPr>
          <w:lang w:val="fr_FR" w:bidi="fr_FR"/>
        </w:rP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rPr>
          <w:lang w:val="fr_FR" w:bidi="fr_FR"/>
        </w:rPr>
        <w:t xml:space="preserve">devait savoir lire, écrire et calculer </w:t>
      </w:r>
      <w:r>
        <w:rPr>
          <w:lang w:val="fr_FR" w:bidi="fr_FR"/>
        </w:rPr>
        <w:t xml:space="preserve">(voir </w:t>
      </w:r>
      <w:hyperlink r:id="rId31">
        <w:r>
          <w:rPr>
            <w:lang w:val="fr_FR" w:bidi="fr_FR"/>
          </w:rPr>
          <w:rPr>
            <w:color w:val="0000EE"/>
            <w:u w:val="single"/>
          </w:rPr>
          <w:t>Ac 7.20–22</w:t>
        </w:r>
      </w:hyperlink>
      <w:r>
        <w:rPr>
          <w:lang w:val="fr_FR" w:bidi="fr_FR"/>
        </w:rPr>
        <w:t>)</w:t>
      </w:r>
      <w:r>
        <w:rPr>
          <w:lang w:val="fr_FR" w:bidi="fr_FR"/>
        </w:rPr>
        <w:t xml:space="preserve"> et était tout à fait capable de rédiger le Lévitique.</w:t>
      </w:r>
      <w:r>
        <w:rPr>
          <w:lang w:val="fr_FR" w:bidi="fr_FR"/>
        </w:rPr>
        <w:t xml:space="preserve"> Le livre commence et se termine par des déclarations affirmant que le contenu du Lévitique a été donné à Israël par Dieu à travers Moïse (</w:t>
      </w:r>
      <w:hyperlink r:id="rId32">
        <w:r>
          <w:rPr>
            <w:lang w:val="fr_FR" w:bidi="fr_FR"/>
          </w:rPr>
          <w:rPr>
            <w:color w:val="0000EE"/>
            <w:u w:val="single"/>
          </w:rPr>
          <w:t xml:space="preserve">1.1–2 </w:t>
        </w:r>
      </w:hyperlink>
      <w:r>
        <w:rPr>
          <w:lang w:val="fr_FR" w:bidi="fr_FR"/>
        </w:rPr>
        <w:t xml:space="preserve">; </w:t>
      </w:r>
      <w:hyperlink r:id="rId33">
        <w:r>
          <w:rPr>
            <w:lang w:val="fr_FR" w:bidi="fr_FR"/>
          </w:rPr>
          <w:rPr>
            <w:color w:val="0000EE"/>
            <w:u w:val="single"/>
          </w:rPr>
          <w:t>27.34</w:t>
        </w:r>
      </w:hyperlink>
      <w:r>
        <w:rPr>
          <w:lang w:val="fr_FR" w:bidi="fr_FR"/>
        </w:rPr>
        <w:t xml:space="preserve">). Le Lévitique décrit à plusieurs reprises comment Moïse a reçu les instructions du Seigneur (par exemple aux versets </w:t>
      </w:r>
      <w:hyperlink r:id="rId34">
        <w:r>
          <w:rPr>
            <w:lang w:val="fr_FR" w:bidi="fr_FR"/>
          </w:rPr>
          <w:rPr>
            <w:color w:val="0000EE"/>
            <w:u w:val="single"/>
          </w:rPr>
          <w:t xml:space="preserve">4.1 </w:t>
        </w:r>
      </w:hyperlink>
      <w:r>
        <w:rPr>
          <w:lang w:val="fr_FR" w:bidi="fr_FR"/>
        </w:rPr>
        <w:t xml:space="preserve">; </w:t>
      </w:r>
      <w:hyperlink r:id="rId35">
        <w:r>
          <w:rPr>
            <w:lang w:val="fr_FR" w:bidi="fr_FR"/>
          </w:rPr>
          <w:rPr>
            <w:color w:val="0000EE"/>
            <w:u w:val="single"/>
          </w:rPr>
          <w:t xml:space="preserve">5.14 </w:t>
        </w:r>
      </w:hyperlink>
      <w:r>
        <w:rPr>
          <w:lang w:val="fr_FR" w:bidi="fr_FR"/>
        </w:rPr>
        <w:t xml:space="preserve">; </w:t>
      </w:r>
      <w:hyperlink r:id="rId36">
        <w:r>
          <w:rPr>
            <w:lang w:val="fr_FR" w:bidi="fr_FR"/>
          </w:rPr>
          <w:rPr>
            <w:color w:val="0000EE"/>
            <w:u w:val="single"/>
          </w:rPr>
          <w:t>6.1</w:t>
        </w:r>
      </w:hyperlink>
      <w:r>
        <w:rPr>
          <w:lang w:val="fr_FR" w:bidi="fr_FR"/>
        </w:rPr>
        <w:t xml:space="preserve">, </w:t>
      </w:r>
      <w:hyperlink r:id="rId37">
        <w:r>
          <w:rPr>
            <w:lang w:val="fr_FR" w:bidi="fr_FR"/>
          </w:rPr>
          <w:rPr>
            <w:color w:val="0000EE"/>
            <w:u w:val="single"/>
          </w:rPr>
          <w:t>8</w:t>
        </w:r>
      </w:hyperlink>
      <w:r>
        <w:rPr>
          <w:lang w:val="fr_FR" w:bidi="fr_FR"/>
        </w:rPr>
        <w:t xml:space="preserve">, </w:t>
      </w:r>
      <w:hyperlink r:id="rId38">
        <w:r>
          <w:rPr>
            <w:lang w:val="fr_FR" w:bidi="fr_FR"/>
          </w:rPr>
          <w:rPr>
            <w:color w:val="0000EE"/>
            <w:u w:val="single"/>
          </w:rPr>
          <w:t>19</w:t>
        </w:r>
      </w:hyperlink>
      <w:r>
        <w:rPr>
          <w:lang w:val="fr_FR" w:bidi="fr_FR"/>
        </w:rPr>
        <w:t xml:space="preserve">, </w:t>
      </w:r>
      <w:hyperlink r:id="rId39">
        <w:r>
          <w:rPr>
            <w:lang w:val="fr_FR" w:bidi="fr_FR"/>
          </w:rPr>
          <w:rPr>
            <w:color w:val="0000EE"/>
            <w:u w:val="single"/>
          </w:rPr>
          <w:t>24 ;</w:t>
        </w:r>
      </w:hyperlink>
      <w:r>
        <w:rPr>
          <w:lang w:val="fr_FR" w:bidi="fr_FR"/>
        </w:rPr>
        <w:t xml:space="preserve"> </w:t>
      </w:r>
      <w:hyperlink r:id="rId40">
        <w:r>
          <w:rPr>
            <w:lang w:val="fr_FR" w:bidi="fr_FR"/>
          </w:rPr>
          <w:rPr>
            <w:color w:val="0000EE"/>
            <w:u w:val="single"/>
          </w:rPr>
          <w:t>7.22</w:t>
        </w:r>
      </w:hyperlink>
      <w:r>
        <w:rPr>
          <w:lang w:val="fr_FR" w:bidi="fr_FR"/>
        </w:rPr>
        <w:t xml:space="preserve">, </w:t>
      </w:r>
      <w:hyperlink r:id="rId41">
        <w:r>
          <w:rPr>
            <w:lang w:val="fr_FR" w:bidi="fr_FR"/>
          </w:rPr>
          <w:rPr>
            <w:color w:val="0000EE"/>
            <w:u w:val="single"/>
          </w:rPr>
          <w:t>28 ;</w:t>
        </w:r>
      </w:hyperlink>
      <w:r>
        <w:rPr>
          <w:lang w:val="fr_FR" w:bidi="fr_FR"/>
        </w:rPr>
        <w:t xml:space="preserve"> </w:t>
      </w:r>
      <w:hyperlink r:id="rId42">
        <w:r>
          <w:rPr>
            <w:lang w:val="fr_FR" w:bidi="fr_FR"/>
          </w:rPr>
          <w:rPr>
            <w:color w:val="0000EE"/>
            <w:u w:val="single"/>
          </w:rPr>
          <w:t>8.1</w:t>
        </w:r>
      </w:hyperlink>
      <w:r>
        <w:rPr>
          <w:lang w:val="fr_FR" w:bidi="fr_FR"/>
        </w:rPr>
        <w:t>) et les a mises en œuvre (</w:t>
      </w:r>
      <w:hyperlink r:id="rId43">
        <w:r>
          <w:rPr>
            <w:lang w:val="fr_FR" w:bidi="fr_FR"/>
          </w:rPr>
          <w:rPr>
            <w:color w:val="0000EE"/>
            <w:u w:val="single"/>
          </w:rPr>
          <w:t>8.4–10.20</w:t>
        </w:r>
      </w:hyperlink>
      <w:r>
        <w:rPr>
          <w:lang w:val="fr_FR" w:bidi="fr_FR"/>
        </w:rPr>
        <w:t xml:space="preserve">). L’Ancien Testament présente souvent Moïse comme l’auteur du Pentateuque (Genèse-Deutéronome ; voir </w:t>
      </w:r>
      <w:hyperlink r:id="rId44">
        <w:r>
          <w:rPr>
            <w:lang w:val="fr_FR" w:bidi="fr_FR"/>
          </w:rPr>
          <w:rPr>
            <w:color w:val="0000EE"/>
            <w:u w:val="single"/>
          </w:rPr>
          <w:t xml:space="preserve">Jos 8.31–32 </w:t>
        </w:r>
      </w:hyperlink>
      <w:r>
        <w:rPr>
          <w:lang w:val="fr_FR" w:bidi="fr_FR"/>
        </w:rPr>
        <w:t xml:space="preserve">; </w:t>
      </w:r>
      <w:hyperlink r:id="rId45">
        <w:r>
          <w:rPr>
            <w:lang w:val="fr_FR" w:bidi="fr_FR"/>
          </w:rPr>
          <w:rPr>
            <w:color w:val="0000EE"/>
            <w:u w:val="single"/>
          </w:rPr>
          <w:t xml:space="preserve">23.6 </w:t>
        </w:r>
      </w:hyperlink>
      <w:r>
        <w:rPr>
          <w:lang w:val="fr_FR" w:bidi="fr_FR"/>
        </w:rPr>
        <w:t xml:space="preserve">; </w:t>
      </w:r>
      <w:hyperlink r:id="rId46">
        <w:r>
          <w:rPr>
            <w:lang w:val="fr_FR" w:bidi="fr_FR"/>
          </w:rPr>
          <w:rPr>
            <w:color w:val="0000EE"/>
            <w:u w:val="single"/>
          </w:rPr>
          <w:t xml:space="preserve">1R 2.3 </w:t>
        </w:r>
      </w:hyperlink>
      <w:r>
        <w:rPr>
          <w:lang w:val="fr_FR" w:bidi="fr_FR"/>
        </w:rPr>
        <w:t xml:space="preserve">; </w:t>
      </w:r>
      <w:hyperlink r:id="rId47">
        <w:r>
          <w:rPr>
            <w:lang w:val="fr_FR" w:bidi="fr_FR"/>
          </w:rPr>
          <w:rPr>
            <w:color w:val="0000EE"/>
            <w:u w:val="single"/>
          </w:rPr>
          <w:t xml:space="preserve">2R 14.6 </w:t>
        </w:r>
      </w:hyperlink>
      <w:r>
        <w:rPr>
          <w:lang w:val="fr_FR" w:bidi="fr_FR"/>
        </w:rPr>
        <w:t xml:space="preserve">; </w:t>
      </w:r>
      <w:hyperlink r:id="rId48">
        <w:r>
          <w:rPr>
            <w:lang w:val="fr_FR" w:bidi="fr_FR"/>
          </w:rPr>
          <w:rPr>
            <w:color w:val="0000EE"/>
            <w:u w:val="single"/>
          </w:rPr>
          <w:t xml:space="preserve">23.25 </w:t>
        </w:r>
      </w:hyperlink>
      <w:r>
        <w:rPr>
          <w:lang w:val="fr_FR" w:bidi="fr_FR"/>
        </w:rPr>
        <w:t xml:space="preserve">; </w:t>
      </w:r>
      <w:hyperlink r:id="rId49">
        <w:r>
          <w:rPr>
            <w:lang w:val="fr_FR" w:bidi="fr_FR"/>
          </w:rPr>
          <w:rPr>
            <w:color w:val="0000EE"/>
            <w:u w:val="single"/>
          </w:rPr>
          <w:t xml:space="preserve">2Ch 23.1 8 </w:t>
        </w:r>
      </w:hyperlink>
      <w:r>
        <w:rPr>
          <w:lang w:val="fr_FR" w:bidi="fr_FR"/>
        </w:rPr>
        <w:t xml:space="preserve">; </w:t>
      </w:r>
      <w:hyperlink r:id="rId50">
        <w:r>
          <w:rPr>
            <w:lang w:val="fr_FR" w:bidi="fr_FR"/>
          </w:rPr>
          <w:rPr>
            <w:color w:val="0000EE"/>
            <w:u w:val="single"/>
          </w:rPr>
          <w:t xml:space="preserve">30.16 </w:t>
        </w:r>
      </w:hyperlink>
      <w:r>
        <w:rPr>
          <w:lang w:val="fr_FR" w:bidi="fr_FR"/>
        </w:rPr>
        <w:t xml:space="preserve">; </w:t>
      </w:r>
      <w:hyperlink r:id="rId51">
        <w:r>
          <w:rPr>
            <w:lang w:val="fr_FR" w:bidi="fr_FR"/>
          </w:rPr>
          <w:rPr>
            <w:color w:val="0000EE"/>
            <w:u w:val="single"/>
          </w:rPr>
          <w:t xml:space="preserve">Esd 3.2 </w:t>
        </w:r>
      </w:hyperlink>
      <w:r>
        <w:rPr>
          <w:lang w:val="fr_FR" w:bidi="fr_FR"/>
        </w:rPr>
        <w:t xml:space="preserve">; </w:t>
      </w:r>
      <w:hyperlink r:id="rId52">
        <w:r>
          <w:rPr>
            <w:lang w:val="fr_FR" w:bidi="fr_FR"/>
          </w:rPr>
          <w:rPr>
            <w:color w:val="0000EE"/>
            <w:u w:val="single"/>
          </w:rPr>
          <w:t xml:space="preserve">7.6 </w:t>
        </w:r>
      </w:hyperlink>
      <w:r>
        <w:rPr>
          <w:lang w:val="fr_FR" w:bidi="fr_FR"/>
        </w:rPr>
        <w:t xml:space="preserve">; </w:t>
      </w:r>
      <w:hyperlink r:id="rId53">
        <w:r>
          <w:rPr>
            <w:lang w:val="fr_FR" w:bidi="fr_FR"/>
          </w:rPr>
          <w:rPr>
            <w:color w:val="0000EE"/>
            <w:u w:val="single"/>
          </w:rPr>
          <w:t xml:space="preserve">Né 8.1 </w:t>
        </w:r>
      </w:hyperlink>
      <w:r>
        <w:rPr>
          <w:lang w:val="fr_FR" w:bidi="fr_FR"/>
        </w:rPr>
        <w:t xml:space="preserve">; </w:t>
      </w:r>
      <w:hyperlink r:id="rId54">
        <w:r>
          <w:rPr>
            <w:lang w:val="fr_FR" w:bidi="fr_FR"/>
          </w:rPr>
          <w:rPr>
            <w:color w:val="0000EE"/>
            <w:u w:val="single"/>
          </w:rPr>
          <w:t>Dn 9.11–13</w:t>
        </w:r>
      </w:hyperlink>
      <w:r>
        <w:rPr>
          <w:lang w:val="fr_FR" w:bidi="fr_FR"/>
        </w:rPr>
        <w:t>). Le Nouveau Testament en fait de même (</w:t>
      </w:r>
      <w:hyperlink r:id="rId55">
        <w:r>
          <w:rPr>
            <w:lang w:val="fr_FR" w:bidi="fr_FR"/>
          </w:rPr>
          <w:rPr>
            <w:color w:val="0000EE"/>
            <w:u w:val="single"/>
          </w:rPr>
          <w:t xml:space="preserve">Mt 19.7–8 </w:t>
        </w:r>
      </w:hyperlink>
      <w:r>
        <w:rPr>
          <w:lang w:val="fr_FR" w:bidi="fr_FR"/>
        </w:rPr>
        <w:t xml:space="preserve">; </w:t>
      </w:r>
      <w:hyperlink r:id="rId56">
        <w:r>
          <w:rPr>
            <w:lang w:val="fr_FR" w:bidi="fr_FR"/>
          </w:rPr>
          <w:rPr>
            <w:color w:val="0000EE"/>
            <w:u w:val="single"/>
          </w:rPr>
          <w:t xml:space="preserve">Lc 2.22 </w:t>
        </w:r>
      </w:hyperlink>
      <w:r>
        <w:rPr>
          <w:lang w:val="fr_FR" w:bidi="fr_FR"/>
        </w:rPr>
        <w:t xml:space="preserve">; </w:t>
      </w:r>
      <w:hyperlink r:id="rId57">
        <w:r>
          <w:rPr>
            <w:lang w:val="fr_FR" w:bidi="fr_FR"/>
          </w:rPr>
          <w:rPr>
            <w:color w:val="0000EE"/>
            <w:u w:val="single"/>
          </w:rPr>
          <w:t xml:space="preserve">24.44 </w:t>
        </w:r>
      </w:hyperlink>
      <w:r>
        <w:rPr>
          <w:lang w:val="fr_FR" w:bidi="fr_FR"/>
        </w:rPr>
        <w:t xml:space="preserve">; </w:t>
      </w:r>
      <w:hyperlink r:id="rId58">
        <w:r>
          <w:rPr>
            <w:lang w:val="fr_FR" w:bidi="fr_FR"/>
          </w:rPr>
          <w:rPr>
            <w:color w:val="0000EE"/>
            <w:u w:val="single"/>
          </w:rPr>
          <w:t>Jn 7.19</w:t>
        </w:r>
      </w:hyperlink>
      <w:r>
        <w:rPr>
          <w:lang w:val="fr_FR" w:bidi="fr_FR"/>
        </w:rPr>
        <w:t xml:space="preserve">, </w:t>
      </w:r>
      <w:hyperlink r:id="rId59">
        <w:r>
          <w:rPr>
            <w:lang w:val="fr_FR" w:bidi="fr_FR"/>
          </w:rPr>
          <w:rPr>
            <w:color w:val="0000EE"/>
            <w:u w:val="single"/>
          </w:rPr>
          <w:t xml:space="preserve">23 </w:t>
        </w:r>
      </w:hyperlink>
      <w:r>
        <w:rPr>
          <w:lang w:val="fr_FR" w:bidi="fr_FR"/>
        </w:rPr>
        <w:t xml:space="preserve">; </w:t>
      </w:r>
      <w:hyperlink r:id="rId60">
        <w:r>
          <w:rPr>
            <w:lang w:val="fr_FR" w:bidi="fr_FR"/>
          </w:rPr>
          <w:rPr>
            <w:color w:val="0000EE"/>
            <w:u w:val="single"/>
          </w:rPr>
          <w:t xml:space="preserve">Rm 10.5 </w:t>
        </w:r>
      </w:hyperlink>
      <w:r>
        <w:rPr>
          <w:lang w:val="fr_FR" w:bidi="fr_FR"/>
        </w:rPr>
        <w:t xml:space="preserve">; </w:t>
      </w:r>
      <w:hyperlink r:id="rId61">
        <w:r>
          <w:rPr>
            <w:lang w:val="fr_FR" w:bidi="fr_FR"/>
          </w:rPr>
          <w:rPr>
            <w:color w:val="0000EE"/>
            <w:u w:val="single"/>
          </w:rPr>
          <w:t xml:space="preserve">1Co 9.9 </w:t>
        </w:r>
      </w:hyperlink>
      <w:r>
        <w:rPr>
          <w:lang w:val="fr_FR" w:bidi="fr_FR"/>
        </w:rPr>
        <w:t xml:space="preserve">; </w:t>
      </w:r>
      <w:hyperlink r:id="rId62">
        <w:r>
          <w:rPr>
            <w:lang w:val="fr_FR" w:bidi="fr_FR"/>
          </w:rPr>
          <w:rPr>
            <w:color w:val="0000EE"/>
            <w:u w:val="single"/>
          </w:rPr>
          <w:t>Hé 10.28</w:t>
        </w:r>
      </w:hyperlink>
      <w:r>
        <w:rPr>
          <w:lang w:val="fr_FR" w:bidi="fr_FR"/>
        </w:rPr>
        <w:t xml:space="preserve">). Voir aussi </w:t>
      </w:r>
      <w:r>
        <w:rPr>
          <w:lang w:val="fr_FR" w:bidi="fr_FR"/>
        </w:rPr>
        <w:t>Introduction au Livre de la Genèse</w:t>
      </w:r>
      <w:r>
        <w:rPr>
          <w:lang w:val="fr_FR" w:bidi="fr_FR"/>
        </w:rPr>
        <w:t>, « Auteur ».</w:t>
      </w:r>
    </w:p>
    <w:p>
      <w:pPr>
        <w:pStyle w:val="Heading2"/>
      </w:pPr>
      <w:r>
        <w:rPr>
          <w:lang w:val="fr_FR" w:bidi="fr_FR"/>
        </w:rPr>
        <w:t>Signification et message</w:t>
      </w:r>
    </w:p>
    <w:p>
      <w:pPr/>
      <w:r>
        <w:rPr>
          <w:lang w:val="fr_FR" w:bidi="fr_FR"/>
        </w:rPr>
      </w:r>
      <w:r>
        <w:rPr>
          <w:lang w:val="fr_FR" w:bidi="fr_FR"/>
        </w:rP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hyperlink r:id="rId13">
        <w:r>
          <w:rPr>
            <w:lang w:val="fr_FR" w:bidi="fr_FR"/>
          </w:rPr>
          <w:rPr>
            <w:color w:val="0000EE"/>
            <w:u w:val="single"/>
          </w:rPr>
          <w:t>11.44–45</w:t>
        </w:r>
      </w:hyperlink>
      <w:r>
        <w:rPr>
          <w:lang w:val="fr_FR" w:bidi="fr_FR"/>
        </w:rPr>
        <w:t>).</w:t>
      </w:r>
    </w:p>
    <w:p>
      <w:pPr/>
      <w:r>
        <w:rPr>
          <w:lang w:val="fr_FR" w:bidi="fr_FR"/>
        </w:rPr>
      </w:r>
      <w:r>
        <w:rPr>
          <w:lang w:val="fr_FR" w:bidi="fr_FR"/>
        </w:rP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hyperlink r:id="rId13">
        <w:r>
          <w:rPr>
            <w:lang w:val="fr_FR" w:bidi="fr_FR"/>
          </w:rPr>
          <w:rPr>
            <w:color w:val="0000EE"/>
            <w:u w:val="single"/>
          </w:rPr>
          <w:t>Lv 11.44–45</w:t>
        </w:r>
      </w:hyperlink>
      <w:r>
        <w:rPr>
          <w:lang w:val="fr_FR" w:bidi="fr_FR"/>
        </w:rPr>
        <w:t xml:space="preserve"> ; </w:t>
      </w:r>
      <w:hyperlink r:id="rId63">
        <w:r>
          <w:rPr>
            <w:lang w:val="fr_FR" w:bidi="fr_FR"/>
          </w:rPr>
          <w:rPr>
            <w:color w:val="0000EE"/>
            <w:u w:val="single"/>
          </w:rPr>
          <w:t>19.2</w:t>
        </w:r>
      </w:hyperlink>
      <w:r>
        <w:rPr>
          <w:lang w:val="fr_FR" w:bidi="fr_FR"/>
        </w:rPr>
        <w:t xml:space="preserve"> ; voir </w:t>
      </w:r>
      <w:hyperlink r:id="rId64">
        <w:r>
          <w:rPr>
            <w:lang w:val="fr_FR" w:bidi="fr_FR"/>
          </w:rPr>
          <w:rPr>
            <w:color w:val="0000EE"/>
            <w:u w:val="single"/>
          </w:rPr>
          <w:t>1Co 3.17</w:t>
        </w:r>
      </w:hyperlink>
      <w:r>
        <w:rPr>
          <w:lang w:val="fr_FR" w:bidi="fr_FR"/>
        </w:rPr>
        <w:t xml:space="preserve"> ; </w:t>
      </w:r>
      <w:hyperlink r:id="rId65">
        <w:r>
          <w:rPr>
            <w:lang w:val="fr_FR" w:bidi="fr_FR"/>
          </w:rPr>
          <w:rPr>
            <w:color w:val="0000EE"/>
            <w:u w:val="single"/>
          </w:rPr>
          <w:t>1P 1.15</w:t>
        </w:r>
      </w:hyperlink>
      <w:r>
        <w:rPr>
          <w:lang w:val="fr_FR" w:bidi="fr_FR"/>
        </w:rPr>
        <w:t>).</w:t>
      </w:r>
    </w:p>
    <w:p>
      <w:pPr/>
      <w:r>
        <w:rPr>
          <w:lang w:val="fr_FR" w:bidi="fr_FR"/>
        </w:rPr>
      </w:r>
      <w:r>
        <w:rPr>
          <w:lang w:val="fr_FR" w:bidi="fr_FR"/>
        </w:rP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hyperlink r:id="rId66">
        <w:r>
          <w:rPr>
            <w:lang w:val="fr_FR" w:bidi="fr_FR"/>
          </w:rPr>
          <w:rPr>
            <w:color w:val="0000EE"/>
            <w:u w:val="single"/>
          </w:rPr>
          <w:t>Mt 22.39</w:t>
        </w:r>
      </w:hyperlink>
      <w:r>
        <w:rPr>
          <w:lang w:val="fr_FR" w:bidi="fr_FR"/>
        </w:rPr>
        <w:t xml:space="preserve"> ; </w:t>
      </w:r>
      <w:hyperlink r:id="rId67">
        <w:r>
          <w:rPr>
            <w:lang w:val="fr_FR" w:bidi="fr_FR"/>
          </w:rPr>
          <w:rPr>
            <w:color w:val="0000EE"/>
            <w:u w:val="single"/>
          </w:rPr>
          <w:t>Mc 12.31</w:t>
        </w:r>
      </w:hyperlink>
      <w:r>
        <w:rPr>
          <w:lang w:val="fr_FR" w:bidi="fr_FR"/>
        </w:rPr>
        <w:t xml:space="preserve"> ; </w:t>
      </w:r>
      <w:hyperlink r:id="rId68">
        <w:r>
          <w:rPr>
            <w:lang w:val="fr_FR" w:bidi="fr_FR"/>
          </w:rPr>
          <w:rPr>
            <w:color w:val="0000EE"/>
            <w:u w:val="single"/>
          </w:rPr>
          <w:t>Lc 10.27</w:t>
        </w:r>
      </w:hyperlink>
      <w:r>
        <w:rPr>
          <w:lang w:val="fr_FR" w:bidi="fr_FR"/>
        </w:rPr>
        <w:t xml:space="preserve"> ; </w:t>
      </w:r>
      <w:hyperlink r:id="rId69">
        <w:r>
          <w:rPr>
            <w:lang w:val="fr_FR" w:bidi="fr_FR"/>
          </w:rPr>
          <w:rPr>
            <w:color w:val="0000EE"/>
            <w:u w:val="single"/>
          </w:rPr>
          <w:t>Rm 13.9</w:t>
        </w:r>
      </w:hyperlink>
      <w:r>
        <w:rPr>
          <w:lang w:val="fr_FR" w:bidi="fr_FR"/>
        </w:rPr>
        <w:t xml:space="preserve"> ; </w:t>
      </w:r>
      <w:hyperlink r:id="rId70">
        <w:r>
          <w:rPr>
            <w:lang w:val="fr_FR" w:bidi="fr_FR"/>
          </w:rPr>
          <w:rPr>
            <w:color w:val="0000EE"/>
            <w:u w:val="single"/>
          </w:rPr>
          <w:t>Ga 5.14</w:t>
        </w:r>
      </w:hyperlink>
      <w:r>
        <w:rPr>
          <w:lang w:val="fr_FR" w:bidi="fr_FR"/>
        </w:rPr>
        <w:t xml:space="preserve"> ; </w:t>
      </w:r>
      <w:hyperlink r:id="rId71">
        <w:r>
          <w:rPr>
            <w:lang w:val="fr_FR" w:bidi="fr_FR"/>
          </w:rPr>
          <w:rPr>
            <w:color w:val="0000EE"/>
            <w:u w:val="single"/>
          </w:rPr>
          <w:t>Jc 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