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hyperlink r:id="rId13">
        <w:r>
          <w:rPr>
            <w:lang w:val="fr_FR" w:bidi="fr_FR"/>
          </w:rPr>
          <w:rPr>
            <w:color w:val="0000EE"/>
            <w:u w:val="single"/>
          </w:rPr>
          <w:t>Ac 20.29–31</w:t>
        </w:r>
      </w:hyperlink>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hyperlink r:id="rId14">
        <w:r>
          <w:rPr>
            <w:lang w:val="fr_FR" w:bidi="fr_FR"/>
          </w:rPr>
          <w:rPr>
            <w:color w:val="0000EE"/>
            <w:u w:val="single"/>
          </w:rPr>
          <w:t>Ac 18.19–21</w:t>
        </w:r>
      </w:hyperlink>
      <w:r>
        <w:rPr>
          <w:lang w:val="fr_FR" w:bidi="fr_FR"/>
        </w:rPr>
        <w:t xml:space="preserve">), ne lui donnent pas l'occasion d'accomplir un travail significatif. Au cours de son troisième voyage, il y sert durant trois années (vers 53–56 apr. J.-C., voir </w:t>
      </w:r>
      <w:hyperlink r:id="rId15">
        <w:r>
          <w:rPr>
            <w:lang w:val="fr_FR" w:bidi="fr_FR"/>
          </w:rPr>
          <w:rPr>
            <w:color w:val="0000EE"/>
            <w:u w:val="single"/>
          </w:rPr>
          <w:t>Ac 19</w:t>
        </w:r>
      </w:hyperlink>
      <w:r>
        <w:rPr>
          <w:lang w:val="fr_FR" w:bidi="fr_FR"/>
        </w:rPr>
        <w:t>). Plus tard, alors qu'il se rend à Jérusalem, il a l'occasion de s'arrêter à Milet et de parler aux anciens d'Éphèse, qui l'y rencontrent (</w:t>
      </w:r>
      <w:hyperlink r:id="rId16">
        <w:r>
          <w:rPr>
            <w:lang w:val="fr_FR" w:bidi="fr_FR"/>
          </w:rPr>
          <w:rPr>
            <w:color w:val="0000EE"/>
            <w:u w:val="single"/>
          </w:rPr>
          <w:t>Ac 20.17–38</w:t>
        </w:r>
      </w:hyperlink>
      <w:r>
        <w:rPr>
          <w:lang w:val="fr_FR" w:bidi="fr_FR"/>
        </w:rPr>
        <w:t xml:space="preserve">). Il se rend à Jérusalem, est arrêté, est ensuite transféré à Césarée, puis est envoyé à Rome, où il est placé en résidence surveillée pendant environ deux ans (60–62 apr. J.-C., </w:t>
      </w:r>
      <w:hyperlink r:id="rId17">
        <w:r>
          <w:rPr>
            <w:lang w:val="fr_FR" w:bidi="fr_FR"/>
          </w:rPr>
          <w:rPr>
            <w:color w:val="0000EE"/>
            <w:u w:val="single"/>
          </w:rPr>
          <w:t>Ac 21–28</w:t>
        </w:r>
      </w:hyperlink>
      <w:r>
        <w:rPr>
          <w:lang w:val="fr_FR" w:bidi="fr_FR"/>
        </w:rPr>
        <w:t xml:space="preserve">). À sa libération, il reprend sa mission, peut-être guidé vers l'Espagne (voir </w:t>
      </w:r>
      <w:hyperlink r:id="rId18">
        <w:r>
          <w:rPr>
            <w:lang w:val="fr_FR" w:bidi="fr_FR"/>
          </w:rPr>
          <w:rPr>
            <w:color w:val="0000EE"/>
            <w:u w:val="single"/>
          </w:rPr>
          <w:t>Rm 15.24</w:t>
        </w:r>
      </w:hyperlink>
      <w:r>
        <w:rPr>
          <w:lang w:val="fr_FR" w:bidi="fr_FR"/>
        </w:rPr>
        <w:t xml:space="preserve">, </w:t>
      </w:r>
      <w:hyperlink r:id="rId19">
        <w:r>
          <w:rPr>
            <w:lang w:val="fr_FR" w:bidi="fr_FR"/>
          </w:rPr>
          <w:rPr>
            <w:color w:val="0000EE"/>
            <w:u w:val="single"/>
          </w:rPr>
          <w:t>28</w:t>
        </w:r>
      </w:hyperlink>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hyperlink r:id="rId20">
        <w:r>
          <w:rPr>
            <w:lang w:val="fr_FR" w:bidi="fr_FR"/>
          </w:rPr>
          <w:rPr>
            <w:color w:val="0000EE"/>
            <w:u w:val="single"/>
          </w:rPr>
          <w:t>Ac 19.22</w:t>
        </w:r>
      </w:hyperlink>
      <w:r>
        <w:rPr>
          <w:lang w:val="fr_FR" w:bidi="fr_FR"/>
        </w:rPr>
        <w:t>), reçoit maintenant la charge d'y gérer les nouveaux développements troublants (</w:t>
      </w:r>
      <w:hyperlink r:id="rId21">
        <w:r>
          <w:rPr>
            <w:lang w:val="fr_FR" w:bidi="fr_FR"/>
          </w:rPr>
          <w:rPr>
            <w:color w:val="0000EE"/>
            <w:u w:val="single"/>
          </w:rPr>
          <w:t>1Tm 1.3</w:t>
        </w:r>
      </w:hyperlink>
      <w:r>
        <w:rPr>
          <w:lang w:val="fr_FR" w:bidi="fr_FR"/>
        </w:rPr>
        <w:t>). De faux docteurs avaient fait leur apparition (</w:t>
      </w:r>
      <w:hyperlink r:id="rId21">
        <w:r>
          <w:rPr>
            <w:lang w:val="fr_FR" w:bidi="fr_FR"/>
          </w:rPr>
          <w:rPr>
            <w:color w:val="0000EE"/>
            <w:u w:val="single"/>
          </w:rPr>
          <w:t>1.3</w:t>
        </w:r>
      </w:hyperlink>
      <w:r>
        <w:rPr>
          <w:lang w:val="fr_FR" w:bidi="fr_FR"/>
        </w:rPr>
        <w:t xml:space="preserve">) et bouleversaient de toute évidence les ménages (voir </w:t>
      </w:r>
      <w:hyperlink r:id="rId22">
        <w:r>
          <w:rPr>
            <w:lang w:val="fr_FR" w:bidi="fr_FR"/>
          </w:rPr>
          <w:rPr>
            <w:color w:val="0000EE"/>
            <w:u w:val="single"/>
          </w:rPr>
          <w:t>1Tm 2.15</w:t>
        </w:r>
      </w:hyperlink>
      <w:r>
        <w:rPr>
          <w:lang w:val="fr_FR" w:bidi="fr_FR"/>
        </w:rPr>
        <w:t xml:space="preserve"> ; </w:t>
      </w:r>
      <w:hyperlink r:id="rId23">
        <w:r>
          <w:rPr>
            <w:lang w:val="fr_FR" w:bidi="fr_FR"/>
          </w:rPr>
          <w:rPr>
            <w:color w:val="0000EE"/>
            <w:u w:val="single"/>
          </w:rPr>
          <w:t>3.4–5</w:t>
        </w:r>
      </w:hyperlink>
      <w:r>
        <w:rPr>
          <w:lang w:val="fr_FR" w:bidi="fr_FR"/>
        </w:rPr>
        <w:t xml:space="preserve"> ; </w:t>
      </w:r>
      <w:hyperlink r:id="rId24">
        <w:r>
          <w:rPr>
            <w:lang w:val="fr_FR" w:bidi="fr_FR"/>
          </w:rPr>
          <w:rPr>
            <w:color w:val="0000EE"/>
            <w:u w:val="single"/>
          </w:rPr>
          <w:t>5.11–15</w:t>
        </w:r>
      </w:hyperlink>
      <w:r>
        <w:rPr>
          <w:lang w:val="fr_FR" w:bidi="fr_FR"/>
        </w:rPr>
        <w:t xml:space="preserve"> ; comp. </w:t>
      </w:r>
      <w:hyperlink r:id="rId25">
        <w:r>
          <w:rPr>
            <w:lang w:val="fr_FR" w:bidi="fr_FR"/>
          </w:rPr>
          <w:rPr>
            <w:color w:val="0000EE"/>
            <w:u w:val="single"/>
          </w:rPr>
          <w:t>Tt 1.11</w:t>
        </w:r>
      </w:hyperlink>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hyperlink r:id="rId26">
        <w:r>
          <w:rPr>
            <w:lang w:val="fr_FR" w:bidi="fr_FR"/>
          </w:rPr>
          <w:rPr>
            <w:color w:val="0000EE"/>
            <w:u w:val="single"/>
          </w:rPr>
          <w:t>1.3–20</w:t>
        </w:r>
      </w:hyperlink>
      <w:r>
        <w:rPr>
          <w:lang w:val="fr_FR" w:bidi="fr_FR"/>
        </w:rPr>
        <w:t>). Il lui en donne ensuite sur la bonne conduite des saints dans la maison de Dieu, en rapport à la prière, l'enseignement des femmes et la direction de l'Église (</w:t>
      </w:r>
      <w:hyperlink r:id="rId27">
        <w:r>
          <w:rPr>
            <w:lang w:val="fr_FR" w:bidi="fr_FR"/>
          </w:rPr>
          <w:rPr>
            <w:color w:val="0000EE"/>
            <w:u w:val="single"/>
          </w:rPr>
          <w:t>2.1–3.13</w:t>
        </w:r>
      </w:hyperlink>
      <w:r>
        <w:rPr>
          <w:lang w:val="fr_FR" w:bidi="fr_FR"/>
        </w:rPr>
        <w:t>). Les faux enseignants avaient fait des dommages dans ces trois domaines. Paul indique clairement ce qu'il essaie d'accomplir et explique pourquoi et comment cela doit être fait (</w:t>
      </w:r>
      <w:hyperlink r:id="rId28">
        <w:r>
          <w:rPr>
            <w:lang w:val="fr_FR" w:bidi="fr_FR"/>
          </w:rPr>
          <w:rPr>
            <w:color w:val="0000EE"/>
            <w:u w:val="single"/>
          </w:rPr>
          <w:t>3.14–4.16</w:t>
        </w:r>
      </w:hyperlink>
      <w:r>
        <w:rPr>
          <w:lang w:val="fr_FR" w:bidi="fr_FR"/>
        </w:rPr>
        <w:t>). Il reprend ensuite ses instructions sur la piété, pour les personnes mûres ou âgées, les jeunes gens, les veuves, les anciens et les maîtres (</w:t>
      </w:r>
      <w:hyperlink r:id="rId29">
        <w:r>
          <w:rPr>
            <w:lang w:val="fr_FR" w:bidi="fr_FR"/>
          </w:rPr>
          <w:rPr>
            <w:color w:val="0000EE"/>
            <w:u w:val="single"/>
          </w:rPr>
          <w:t>5.1–6.2</w:t>
        </w:r>
      </w:hyperlink>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hyperlink r:id="rId30">
        <w:r>
          <w:rPr>
            <w:lang w:val="fr_FR" w:bidi="fr_FR"/>
          </w:rPr>
          <w:rPr>
            <w:color w:val="0000EE"/>
            <w:u w:val="single"/>
          </w:rPr>
          <w:t>6.2–21</w:t>
        </w:r>
      </w:hyperlink>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hyperlink r:id="rId31">
        <w:r>
          <w:rPr>
            <w:lang w:val="fr_FR" w:bidi="fr_FR"/>
          </w:rPr>
          <w:rPr>
            <w:color w:val="0000EE"/>
            <w:u w:val="single"/>
          </w:rPr>
          <w:t>Ac 28.1–3</w:t>
        </w:r>
      </w:hyperlink>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hyperlink r:id="rId32">
        <w:r>
          <w:rPr>
            <w:lang w:val="fr_FR" w:bidi="fr_FR"/>
          </w:rPr>
          <w:rPr>
            <w:color w:val="0000EE"/>
            <w:u w:val="single"/>
          </w:rPr>
          <w:t>2Tm 4.6</w:t>
        </w:r>
      </w:hyperlink>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hyperlink r:id="rId31">
        <w:r>
          <w:rPr>
            <w:lang w:val="fr_FR" w:bidi="fr_FR"/>
          </w:rPr>
          <w:rPr>
            <w:color w:val="0000EE"/>
            <w:u w:val="single"/>
          </w:rPr>
          <w:t>Actes 28</w:t>
        </w:r>
      </w:hyperlink>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hyperlink r:id="rId33">
        <w:r>
          <w:rPr>
            <w:lang w:val="fr_FR" w:bidi="fr_FR"/>
          </w:rPr>
          <w:rPr>
            <w:color w:val="0000EE"/>
            <w:u w:val="single"/>
          </w:rPr>
          <w:t>5.6–7</w:t>
        </w:r>
      </w:hyperlink>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1">
        <w:r>
          <w:rPr>
            <w:lang w:val="fr_FR" w:bidi="fr_FR"/>
          </w:rPr>
          <w:rPr>
            <w:color w:val="0000EE"/>
            <w:u w:val="single"/>
          </w:rPr>
          <w:t>Actes 28</w:t>
        </w:r>
      </w:hyperlink>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4">
        <w:r>
          <w:rPr>
            <w:lang w:val="fr_FR" w:bidi="fr_FR"/>
          </w:rPr>
          <w:rPr>
            <w:color w:val="0000EE"/>
            <w:u w:val="single"/>
          </w:rPr>
          <w:t>1Tm 4.3</w:t>
        </w:r>
      </w:hyperlink>
      <w:r>
        <w:rPr>
          <w:lang w:val="fr_FR" w:bidi="fr_FR"/>
        </w:rPr>
        <w:t xml:space="preserve"> ; </w:t>
      </w:r>
      <w:hyperlink r:id="rId35">
        <w:r>
          <w:rPr>
            <w:lang w:val="fr_FR" w:bidi="fr_FR"/>
          </w:rPr>
          <w:rPr>
            <w:color w:val="0000EE"/>
            <w:u w:val="single"/>
          </w:rPr>
          <w:t>Tt 1.15</w:t>
        </w:r>
      </w:hyperlink>
      <w:r>
        <w:rPr>
          <w:lang w:val="fr_FR" w:bidi="fr_FR"/>
        </w:rPr>
        <w:t xml:space="preserve">) et une emphase juive (voir </w:t>
      </w:r>
      <w:hyperlink r:id="rId36">
        <w:r>
          <w:rPr>
            <w:lang w:val="fr_FR" w:bidi="fr_FR"/>
          </w:rPr>
          <w:rPr>
            <w:color w:val="0000EE"/>
            <w:u w:val="single"/>
          </w:rPr>
          <w:t>1Tm 1.7</w:t>
        </w:r>
      </w:hyperlink>
      <w:r>
        <w:rPr>
          <w:lang w:val="fr_FR" w:bidi="fr_FR"/>
        </w:rPr>
        <w:t xml:space="preserve"> ; </w:t>
      </w:r>
      <w:hyperlink r:id="rId37">
        <w:r>
          <w:rPr>
            <w:lang w:val="fr_FR" w:bidi="fr_FR"/>
          </w:rPr>
          <w:rPr>
            <w:color w:val="0000EE"/>
            <w:u w:val="single"/>
          </w:rPr>
          <w:t>Tt 1.10</w:t>
        </w:r>
      </w:hyperlink>
      <w:r>
        <w:rPr>
          <w:lang w:val="fr_FR" w:bidi="fr_FR"/>
        </w:rPr>
        <w:t xml:space="preserve">, </w:t>
      </w:r>
      <w:hyperlink r:id="rId38">
        <w:r>
          <w:rPr>
            <w:lang w:val="fr_FR" w:bidi="fr_FR"/>
          </w:rPr>
          <w:rPr>
            <w:color w:val="0000EE"/>
            <w:u w:val="single"/>
          </w:rPr>
          <w:t>14</w:t>
        </w:r>
      </w:hyperlink>
      <w:r>
        <w:rPr>
          <w:lang w:val="fr_FR" w:bidi="fr_FR"/>
        </w:rPr>
        <w:t xml:space="preserve"> ; </w:t>
      </w:r>
      <w:hyperlink r:id="rId39">
        <w:r>
          <w:rPr>
            <w:lang w:val="fr_FR" w:bidi="fr_FR"/>
          </w:rPr>
          <w:rPr>
            <w:color w:val="0000EE"/>
            <w:u w:val="single"/>
          </w:rPr>
          <w:t>3.9</w:t>
        </w:r>
      </w:hyperlink>
      <w:r>
        <w:rPr>
          <w:lang w:val="fr_FR" w:bidi="fr_FR"/>
        </w:rPr>
        <w:t>). Ils prétendent avoir des connaissances spéciales (</w:t>
      </w:r>
      <w:hyperlink r:id="rId40">
        <w:r>
          <w:rPr>
            <w:lang w:val="fr_FR" w:bidi="fr_FR"/>
          </w:rPr>
          <w:rPr>
            <w:color w:val="0000EE"/>
            <w:u w:val="single"/>
          </w:rPr>
          <w:t>1Tm 6.20</w:t>
        </w:r>
      </w:hyperlink>
      <w:r>
        <w:rPr>
          <w:lang w:val="fr_FR" w:bidi="fr_FR"/>
        </w:rPr>
        <w:t xml:space="preserve"> ; </w:t>
      </w:r>
      <w:hyperlink r:id="rId41">
        <w:r>
          <w:rPr>
            <w:lang w:val="fr_FR" w:bidi="fr_FR"/>
          </w:rPr>
          <w:rPr>
            <w:color w:val="0000EE"/>
            <w:u w:val="single"/>
          </w:rPr>
          <w:t>Tt 1.16</w:t>
        </w:r>
      </w:hyperlink>
      <w:r>
        <w:rPr>
          <w:lang w:val="fr_FR" w:bidi="fr_FR"/>
        </w:rPr>
        <w:t>), affirmant que la résurrection des croyants a déjà eu lieu (</w:t>
      </w:r>
      <w:hyperlink r:id="rId42">
        <w:r>
          <w:rPr>
            <w:lang w:val="fr_FR" w:bidi="fr_FR"/>
          </w:rPr>
          <w:rPr>
            <w:color w:val="0000EE"/>
            <w:u w:val="single"/>
          </w:rPr>
          <w:t>2Tm 2.18</w:t>
        </w:r>
      </w:hyperlink>
      <w:r>
        <w:rPr>
          <w:lang w:val="fr_FR" w:bidi="fr_FR"/>
        </w:rPr>
        <w:t>), perturbant les relations (</w:t>
      </w:r>
      <w:hyperlink r:id="rId43">
        <w:r>
          <w:rPr>
            <w:lang w:val="fr_FR" w:bidi="fr_FR"/>
          </w:rPr>
          <w:rPr>
            <w:color w:val="0000EE"/>
            <w:u w:val="single"/>
          </w:rPr>
          <w:t>2Tm 3.6–7</w:t>
        </w:r>
      </w:hyperlink>
      <w:r>
        <w:rPr>
          <w:lang w:val="fr_FR" w:bidi="fr_FR"/>
        </w:rPr>
        <w:t xml:space="preserve"> ; </w:t>
      </w:r>
      <w:hyperlink r:id="rId25">
        <w:r>
          <w:rPr>
            <w:lang w:val="fr_FR" w:bidi="fr_FR"/>
          </w:rPr>
          <w:rPr>
            <w:color w:val="0000EE"/>
            <w:u w:val="single"/>
          </w:rPr>
          <w:t>Tt 1.11</w:t>
        </w:r>
      </w:hyperlink>
      <w:r>
        <w:rPr>
          <w:lang w:val="fr_FR" w:bidi="fr_FR"/>
        </w:rPr>
        <w:t>) et enseignant peut-être le salut par les œuvres (</w:t>
      </w:r>
      <w:hyperlink r:id="rId44">
        <w:r>
          <w:rPr>
            <w:lang w:val="fr_FR" w:bidi="fr_FR"/>
          </w:rPr>
          <w:rPr>
            <w:color w:val="0000EE"/>
            <w:u w:val="single"/>
          </w:rPr>
          <w:t>2Tm 1.9</w:t>
        </w:r>
      </w:hyperlink>
      <w:r>
        <w:rPr>
          <w:lang w:val="fr_FR" w:bidi="fr_FR"/>
        </w:rPr>
        <w:t xml:space="preserve"> ; </w:t>
      </w:r>
      <w:hyperlink r:id="rId45">
        <w:r>
          <w:rPr>
            <w:lang w:val="fr_FR" w:bidi="fr_FR"/>
          </w:rPr>
          <w:rPr>
            <w:color w:val="0000EE"/>
            <w:u w:val="single"/>
          </w:rPr>
          <w:t>Tt 3.5</w:t>
        </w:r>
      </w:hyperlink>
      <w:r>
        <w:rPr>
          <w:lang w:val="fr_FR" w:bidi="fr_FR"/>
        </w:rPr>
        <w:t xml:space="preserve">). La réponse vigoureuse de Paul laisse à penser qu'il est nécessaire d'apporter des corrections à la doctrine du Christ (voir </w:t>
      </w:r>
      <w:hyperlink r:id="rId46">
        <w:r>
          <w:rPr>
            <w:lang w:val="fr_FR" w:bidi="fr_FR"/>
          </w:rPr>
          <w:rPr>
            <w:color w:val="0000EE"/>
            <w:u w:val="single"/>
          </w:rPr>
          <w:t>1Tm 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48">
        <w:r>
          <w:rPr>
            <w:lang w:val="fr_FR" w:bidi="fr_FR"/>
          </w:rPr>
          <w:rPr>
            <w:color w:val="0000EE"/>
            <w:u w:val="single"/>
          </w:rPr>
          <w:t>2Tm 2.8</w:t>
        </w:r>
      </w:hyperlink>
      <w:r>
        <w:rPr>
          <w:lang w:val="fr_FR" w:bidi="fr_FR"/>
        </w:rPr>
        <w:t xml:space="preserve">) et à celle des derniers jours (voir </w:t>
      </w:r>
      <w:hyperlink r:id="rId49">
        <w:r>
          <w:rPr>
            <w:lang w:val="fr_FR" w:bidi="fr_FR"/>
          </w:rPr>
          <w:rPr>
            <w:color w:val="0000EE"/>
            <w:u w:val="single"/>
          </w:rPr>
          <w:t>1Tm 4.1–5</w:t>
        </w:r>
      </w:hyperlink>
      <w:r>
        <w:rPr>
          <w:lang w:val="fr_FR" w:bidi="fr_FR"/>
        </w:rPr>
        <w:t xml:space="preserve"> ; </w:t>
      </w:r>
      <w:hyperlink r:id="rId42">
        <w:r>
          <w:rPr>
            <w:lang w:val="fr_FR" w:bidi="fr_FR"/>
          </w:rPr>
          <w:rPr>
            <w:color w:val="0000EE"/>
            <w:u w:val="single"/>
          </w:rPr>
          <w:t>2Tm 2.18</w:t>
        </w:r>
      </w:hyperlink>
      <w:r>
        <w:rPr>
          <w:lang w:val="fr_FR" w:bidi="fr_FR"/>
        </w:rPr>
        <w:t xml:space="preserve"> ; </w:t>
      </w:r>
      <w:hyperlink r:id="rId50">
        <w:r>
          <w:rPr>
            <w:lang w:val="fr_FR" w:bidi="fr_FR"/>
          </w:rPr>
          <w:rPr>
            <w:color w:val="0000EE"/>
            <w:u w:val="single"/>
          </w:rPr>
          <w:t>3.1–9</w:t>
        </w:r>
      </w:hyperlink>
      <w:r>
        <w:rPr>
          <w:lang w:val="fr_FR" w:bidi="fr_FR"/>
        </w:rPr>
        <w:t xml:space="preserve"> ; </w:t>
      </w:r>
      <w:hyperlink r:id="rId51">
        <w:r>
          <w:rPr>
            <w:lang w:val="fr_FR" w:bidi="fr_FR"/>
          </w:rPr>
          <w:rPr>
            <w:color w:val="0000EE"/>
            <w:u w:val="single"/>
          </w:rPr>
          <w:t>Tt 2.11–14</w:t>
        </w:r>
      </w:hyperlink>
      <w:r>
        <w:rPr>
          <w:lang w:val="fr_FR" w:bidi="fr_FR"/>
        </w:rPr>
        <w:t xml:space="preserve">). Les faux enseignants s'opposent au message de Paul, favorisent l'immoralité et ébranlent la mission de l'Église. Il est donc nécessaire d'établir de bons dirigeants (voir </w:t>
      </w:r>
      <w:hyperlink r:id="rId52">
        <w:r>
          <w:rPr>
            <w:lang w:val="fr_FR" w:bidi="fr_FR"/>
          </w:rPr>
          <w:rPr>
            <w:color w:val="0000EE"/>
            <w:u w:val="single"/>
          </w:rPr>
          <w:t>Tt 1.10–13</w:t>
        </w:r>
      </w:hyperlink>
      <w:r>
        <w:rPr>
          <w:lang w:val="fr_FR" w:bidi="fr_FR"/>
        </w:rPr>
        <w:t xml:space="preserve"> ;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15</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hyperlink r:id="rId55">
        <w:r>
          <w:rPr>
            <w:lang w:val="fr_FR" w:bidi="fr_FR"/>
          </w:rPr>
          <w:rPr>
            <w:color w:val="0000EE"/>
            <w:u w:val="single"/>
          </w:rPr>
          <w:t>3.14–16</w:t>
        </w:r>
      </w:hyperlink>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6">
        <w:r>
          <w:rPr>
            <w:lang w:val="fr_FR" w:bidi="fr_FR"/>
          </w:rPr>
          <w:rPr>
            <w:color w:val="0000EE"/>
            <w:u w:val="single"/>
          </w:rPr>
          <w:t>4.3–4</w:t>
        </w:r>
      </w:hyperlink>
      <w:r>
        <w:rPr>
          <w:lang w:val="fr_FR" w:bidi="fr_FR"/>
        </w:rPr>
        <w:t xml:space="preserve"> ; </w:t>
      </w:r>
      <w:hyperlink r:id="rId57">
        <w:r>
          <w:rPr>
            <w:lang w:val="fr_FR" w:bidi="fr_FR"/>
          </w:rPr>
          <w:rPr>
            <w:color w:val="0000EE"/>
            <w:u w:val="single"/>
          </w:rPr>
          <w:t>6.17</w:t>
        </w:r>
      </w:hyperlink>
      <w:r>
        <w:rPr>
          <w:lang w:val="fr_FR" w:bidi="fr_FR"/>
        </w:rPr>
        <w:t>), mais il est transitoire et traverse ses derniers jours, difficiles et accablés par le mal (</w:t>
      </w:r>
      <w:hyperlink r:id="rId58">
        <w:r>
          <w:rPr>
            <w:lang w:val="fr_FR" w:bidi="fr_FR"/>
          </w:rPr>
          <w:rPr>
            <w:color w:val="0000EE"/>
            <w:u w:val="single"/>
          </w:rPr>
          <w:t>4.1</w:t>
        </w:r>
      </w:hyperlink>
      <w:r>
        <w:rPr>
          <w:lang w:val="fr_FR" w:bidi="fr_FR"/>
        </w:rPr>
        <w:t xml:space="preserve"> ; </w:t>
      </w:r>
      <w:hyperlink r:id="rId59">
        <w:r>
          <w:rPr>
            <w:lang w:val="fr_FR" w:bidi="fr_FR"/>
          </w:rPr>
          <w:rPr>
            <w:color w:val="0000EE"/>
            <w:u w:val="single"/>
          </w:rPr>
          <w:t>2Tm 3.1</w:t>
        </w:r>
      </w:hyperlink>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hyperlink r:id="rId60">
        <w:r>
          <w:rPr>
            <w:lang w:val="fr_FR" w:bidi="fr_FR"/>
          </w:rPr>
          <w:rPr>
            <w:color w:val="0000EE"/>
            <w:u w:val="single"/>
          </w:rPr>
          <w:t>1Tm 2.4–7</w:t>
        </w:r>
      </w:hyperlink>
      <w:r>
        <w:rPr>
          <w:lang w:val="fr_FR" w:bidi="fr_FR"/>
        </w:rPr>
        <w:t>). Les actions de son peuple doivent soutenir cette mission (</w:t>
      </w:r>
      <w:hyperlink r:id="rId27">
        <w:r>
          <w:rPr>
            <w:lang w:val="fr_FR" w:bidi="fr_FR"/>
          </w:rPr>
          <w:rPr>
            <w:color w:val="0000EE"/>
            <w:u w:val="single"/>
          </w:rPr>
          <w:t>2.1–3.13</w:t>
        </w:r>
      </w:hyperlink>
      <w:r>
        <w:rPr>
          <w:lang w:val="fr_FR" w:bidi="fr_FR"/>
        </w:rPr>
        <w:t xml:space="preserve"> ; </w:t>
      </w:r>
      <w:hyperlink r:id="rId29">
        <w:r>
          <w:rPr>
            <w:lang w:val="fr_FR" w:bidi="fr_FR"/>
          </w:rPr>
          <w:rPr>
            <w:color w:val="0000EE"/>
            <w:u w:val="single"/>
          </w:rPr>
          <w:t>5.1–6.2</w:t>
        </w:r>
      </w:hyperlink>
      <w:r>
        <w:rPr>
          <w:lang w:val="fr_FR" w:bidi="fr_FR"/>
        </w:rPr>
        <w:t xml:space="preserve"> ; voir </w:t>
      </w:r>
      <w:hyperlink r:id="rId61">
        <w:r>
          <w:rPr>
            <w:lang w:val="fr_FR" w:bidi="fr_FR"/>
          </w:rPr>
          <w:rPr>
            <w:color w:val="0000EE"/>
            <w:u w:val="single"/>
          </w:rPr>
          <w:t>1Co 9.19–23</w:t>
        </w:r>
      </w:hyperlink>
      <w:r>
        <w:rPr>
          <w:lang w:val="fr_FR" w:bidi="fr_FR"/>
        </w:rPr>
        <w:t>). Les faux enseignants parlaient, en revanche, de manière insensée, portant atteinte à l'intégrité de l'Église. La plupart des paroles de Paul concernent donc la bonne conduite. Les résumés succincts de la Bonne Nouvelle (</w:t>
      </w:r>
      <w:hyperlink r:id="rId62">
        <w:r>
          <w:rPr>
            <w:lang w:val="fr_FR" w:bidi="fr_FR"/>
          </w:rPr>
          <w:rPr>
            <w:color w:val="0000EE"/>
            <w:u w:val="single"/>
          </w:rPr>
          <w:t>1Tm 1.15</w:t>
        </w:r>
      </w:hyperlink>
      <w:r>
        <w:rPr>
          <w:lang w:val="fr_FR" w:bidi="fr_FR"/>
        </w:rPr>
        <w:t xml:space="preserve"> ; </w:t>
      </w:r>
      <w:hyperlink r:id="rId46">
        <w:r>
          <w:rPr>
            <w:lang w:val="fr_FR" w:bidi="fr_FR"/>
          </w:rPr>
          <w:rPr>
            <w:color w:val="0000EE"/>
            <w:u w:val="single"/>
          </w:rPr>
          <w:t>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63">
        <w:r>
          <w:rPr>
            <w:lang w:val="fr_FR" w:bidi="fr_FR"/>
          </w:rPr>
          <w:rPr>
            <w:color w:val="0000EE"/>
            <w:u w:val="single"/>
          </w:rPr>
          <w:t>6.13–16</w:t>
        </w:r>
      </w:hyperlink>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