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2"/>
      </w:pPr>
      <w:r>
        <w:rPr>
          <w:lang w:val="hi_IN" w:bidi="hi_IN"/>
        </w:rPr>
        <w:t>परिस्थिति</w:t>
      </w:r>
    </w:p>
    <w:p>
      <w:pPr/>
      <w:r>
        <w:rPr>
          <w:lang w:val="hi_IN" w:bidi="hi_IN"/>
        </w:rPr>
      </w:r>
      <w:r>
        <w:rPr>
          <w:lang w:val="hi_IN" w:bidi="hi_IN"/>
        </w:rP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rPr>
          <w:lang w:val="hi_IN" w:bidi="hi_IN"/>
        </w:rPr>
        <w:t>फलस्वरूप</w:t>
      </w:r>
      <w:r>
        <w:rPr>
          <w:lang w:val="hi_IN" w:bidi="hi_IN"/>
        </w:rP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hyperlink r:id="rId13">
        <w:r>
          <w:rPr>
            <w:lang w:val="hi_IN" w:bidi="hi_IN"/>
          </w:rPr>
          <w:rPr>
            <w:color w:val="0000EE"/>
            <w:u w:val="single"/>
          </w:rPr>
          <w:t>5:1–13</w:t>
        </w:r>
      </w:hyperlink>
      <w:r>
        <w:rPr>
          <w:lang w:val="hi_IN" w:bidi="hi_IN"/>
        </w:rPr>
        <w:t xml:space="preserve">; </w:t>
      </w:r>
      <w:hyperlink r:id="rId14">
        <w:r>
          <w:rPr>
            <w:lang w:val="hi_IN" w:bidi="hi_IN"/>
          </w:rPr>
          <w:rPr>
            <w:color w:val="0000EE"/>
            <w:u w:val="single"/>
          </w:rPr>
          <w:t>6:12–20</w:t>
        </w:r>
      </w:hyperlink>
      <w:r>
        <w:rPr>
          <w:lang w:val="hi_IN" w:bidi="hi_IN"/>
        </w:rPr>
        <w:t xml:space="preserve"> में यौन अनैतिकता के बारे में पौलुस के कड़े शब्दों को देखें)।</w:t>
      </w:r>
    </w:p>
    <w:p>
      <w:pPr/>
      <w:r>
        <w:rPr>
          <w:lang w:val="hi_IN" w:bidi="hi_IN"/>
        </w:rPr>
      </w:r>
      <w:r>
        <w:rPr>
          <w:lang w:val="hi_IN" w:bidi="hi_IN"/>
        </w:rP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hyperlink r:id="rId15">
        <w:r>
          <w:rPr>
            <w:lang w:val="hi_IN" w:bidi="hi_IN"/>
          </w:rPr>
          <w:rPr>
            <w:color w:val="0000EE"/>
            <w:u w:val="single"/>
          </w:rPr>
          <w:t>1:10–12</w:t>
        </w:r>
      </w:hyperlink>
      <w:r>
        <w:rPr>
          <w:lang w:val="hi_IN" w:bidi="hi_IN"/>
        </w:rPr>
        <w:t xml:space="preserve">; </w:t>
      </w:r>
      <w:hyperlink r:id="rId16">
        <w:r>
          <w:rPr>
            <w:lang w:val="hi_IN" w:bidi="hi_IN"/>
          </w:rPr>
          <w:rPr>
            <w:color w:val="0000EE"/>
            <w:u w:val="single"/>
          </w:rPr>
          <w:t>3:1–4</w:t>
        </w:r>
      </w:hyperlink>
      <w:r>
        <w:rPr>
          <w:lang w:val="hi_IN" w:bidi="hi_IN"/>
        </w:rPr>
        <w:t xml:space="preserve"> में उनके गुटबाज़ी के लिए पौलुस की फटकार देखें)।</w:t>
      </w:r>
    </w:p>
    <w:p>
      <w:pPr/>
      <w:r>
        <w:rPr>
          <w:lang w:val="hi_IN" w:bidi="hi_IN"/>
        </w:rPr>
      </w:r>
      <w:r>
        <w:rPr>
          <w:lang w:val="hi_IN" w:bidi="hi_IN"/>
        </w:rP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hyperlink r:id="rId17">
        <w:r>
          <w:rPr>
            <w:lang w:val="hi_IN" w:bidi="hi_IN"/>
          </w:rPr>
          <w:rPr>
            <w:color w:val="0000EE"/>
            <w:u w:val="single"/>
          </w:rPr>
          <w:t>प्रेरि 18:1–17</w:t>
        </w:r>
      </w:hyperlink>
      <w:r>
        <w:rPr>
          <w:lang w:val="hi_IN" w:bidi="hi_IN"/>
        </w:rP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pPr/>
      <w:r>
        <w:rPr>
          <w:lang w:val="hi_IN" w:bidi="hi_IN"/>
        </w:rPr>
      </w:r>
      <w:r>
        <w:rPr>
          <w:lang w:val="hi_IN" w:bidi="hi_IN"/>
        </w:rP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2"/>
      </w:pPr>
      <w:r>
        <w:rPr>
          <w:lang w:val="hi_IN" w:bidi="hi_IN"/>
        </w:rPr>
        <w:t>सारांश</w:t>
      </w:r>
    </w:p>
    <w:p>
      <w:pPr/>
      <w:r>
        <w:rPr>
          <w:lang w:val="hi_IN" w:bidi="hi_IN"/>
        </w:rPr>
      </w:r>
      <w:r>
        <w:rPr>
          <w:lang w:val="hi_IN" w:bidi="hi_IN"/>
        </w:rP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Pr>
          <w:lang w:val="hi_IN" w:bidi="hi_IN"/>
        </w:rPr>
      </w:r>
      <w:r>
        <w:rPr>
          <w:lang w:val="hi_IN" w:bidi="hi_IN"/>
        </w:rPr>
        <w:t>सुसमाचार प्रचार के लिए पौलुस के गैर-बौद्धिक दृष्टिकोण की आलोचना (</w:t>
      </w:r>
      <w:hyperlink r:id="rId18">
        <w:r>
          <w:rPr>
            <w:lang w:val="hi_IN" w:bidi="hi_IN"/>
          </w:rPr>
          <w:rPr>
            <w:color w:val="0000EE"/>
            <w:u w:val="single"/>
          </w:rPr>
          <w:t>1:1–4:21</w:t>
        </w:r>
      </w:hyperlink>
      <w:r>
        <w:rPr>
          <w:lang w:val="hi_IN" w:bidi="hi_IN"/>
        </w:rPr>
        <w:t>)</w:t>
      </w:r>
    </w:p>
    <w:p>
      <w:pPr>
        <w:pStyle w:val="ListBullet"/>
        <w:spacing w:line="240" w:lineRule="auto"/>
        <w:ind w:left="720"/>
      </w:pPr>
      <w:r>
        <w:rPr>
          <w:lang w:val="hi_IN" w:bidi="hi_IN"/>
        </w:rPr>
      </w:r>
      <w:r>
        <w:rPr>
          <w:lang w:val="hi_IN" w:bidi="hi_IN"/>
        </w:rPr>
        <w:t>कलीसिया में यौन अनैतिकता का एक स्पष्ट मामला (</w:t>
      </w:r>
      <w:hyperlink r:id="rId13">
        <w:r>
          <w:rPr>
            <w:lang w:val="hi_IN" w:bidi="hi_IN"/>
          </w:rPr>
          <w:rPr>
            <w:color w:val="0000EE"/>
            <w:u w:val="single"/>
          </w:rPr>
          <w:t>5:1–13</w:t>
        </w:r>
      </w:hyperlink>
      <w:r>
        <w:rPr>
          <w:lang w:val="hi_IN" w:bidi="hi_IN"/>
        </w:rPr>
        <w:t>)</w:t>
      </w:r>
    </w:p>
    <w:p>
      <w:pPr>
        <w:pStyle w:val="ListBullet"/>
        <w:spacing w:line="240" w:lineRule="auto"/>
        <w:ind w:left="720"/>
      </w:pPr>
      <w:r>
        <w:rPr>
          <w:lang w:val="hi_IN" w:bidi="hi_IN"/>
        </w:rPr>
      </w:r>
      <w:r>
        <w:rPr>
          <w:lang w:val="hi_IN" w:bidi="hi_IN"/>
        </w:rPr>
        <w:t>साथी विश्वासियों को अन्यजाति न्यायाधीशों के समक्ष न्यायालय में ले जाने की प्रथा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यौन अनैतिकता की समस्याएँ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विवाह, तलाक, और अविवाहित रहने के विषय में प्रश्न (</w:t>
      </w:r>
      <w:hyperlink r:id="rId20">
        <w:r>
          <w:rPr>
            <w:lang w:val="hi_IN" w:bidi="hi_IN"/>
          </w:rPr>
          <w:rPr>
            <w:color w:val="0000EE"/>
            <w:u w:val="single"/>
          </w:rPr>
          <w:t>7:1–40</w:t>
        </w:r>
      </w:hyperlink>
      <w:r>
        <w:rPr>
          <w:lang w:val="hi_IN" w:bidi="hi_IN"/>
        </w:rPr>
        <w:t>)</w:t>
      </w:r>
    </w:p>
    <w:p>
      <w:pPr>
        <w:pStyle w:val="ListBullet"/>
        <w:spacing w:line="240" w:lineRule="auto"/>
        <w:ind w:left="720"/>
      </w:pPr>
      <w:r>
        <w:rPr>
          <w:lang w:val="hi_IN" w:bidi="hi_IN"/>
        </w:rPr>
      </w:r>
      <w:r>
        <w:rPr>
          <w:lang w:val="hi_IN" w:bidi="hi_IN"/>
        </w:rPr>
        <w:t>यह प्रश्न कि क्या विश्वासियों को अन्यजातियों के देवताओं के लिए बलिदान किए गए मांस को खाने की अनुमति है (</w:t>
      </w:r>
      <w:hyperlink r:id="rId21">
        <w:r>
          <w:rPr>
            <w:lang w:val="hi_IN" w:bidi="hi_IN"/>
          </w:rPr>
          <w:rPr>
            <w:color w:val="0000EE"/>
            <w:u w:val="single"/>
          </w:rPr>
          <w:t>8:1–10:33</w:t>
        </w:r>
      </w:hyperlink>
      <w:r>
        <w:rPr>
          <w:lang w:val="hi_IN" w:bidi="hi_IN"/>
        </w:rPr>
        <w:t>)</w:t>
      </w:r>
    </w:p>
    <w:p>
      <w:pPr>
        <w:pStyle w:val="ListBullet"/>
        <w:spacing w:line="240" w:lineRule="auto"/>
        <w:ind w:left="720"/>
      </w:pPr>
      <w:r>
        <w:rPr>
          <w:lang w:val="hi_IN" w:bidi="hi_IN"/>
        </w:rPr>
      </w:r>
      <w:r>
        <w:rPr>
          <w:lang w:val="hi_IN" w:bidi="hi_IN"/>
        </w:rPr>
        <w:t>सार्वजनिक रूप से सेवा करने वाली महिलाओं के लिए उचित पहिरावे का प्रश्न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प्रभु के भोज को प्राप्त करने में अनादरपूर्ण और अपमानजनक व्यवहार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आत्मिक वरदानों और उनके अभ्यास पर विकृत दृष्टिकोण (</w:t>
      </w:r>
      <w:hyperlink r:id="rId23">
        <w:r>
          <w:rPr>
            <w:lang w:val="hi_IN" w:bidi="hi_IN"/>
          </w:rPr>
          <w:rPr>
            <w:color w:val="0000EE"/>
            <w:u w:val="single"/>
          </w:rPr>
          <w:t>12:1–14:40</w:t>
        </w:r>
      </w:hyperlink>
      <w:r>
        <w:rPr>
          <w:lang w:val="hi_IN" w:bidi="hi_IN"/>
        </w:rPr>
        <w:t>)</w:t>
      </w:r>
    </w:p>
    <w:p>
      <w:pPr>
        <w:pStyle w:val="ListBullet"/>
        <w:spacing w:line="240" w:lineRule="auto"/>
        <w:ind w:left="720"/>
      </w:pPr>
      <w:r>
        <w:rPr>
          <w:lang w:val="hi_IN" w:bidi="hi_IN"/>
        </w:rPr>
      </w:r>
      <w:r>
        <w:rPr>
          <w:lang w:val="hi_IN" w:bidi="hi_IN"/>
        </w:rPr>
        <w:t>मृतकों के भविष्य के पुनरुत्थान के बारे में संदेह (</w:t>
      </w:r>
      <w:hyperlink r:id="rId24">
        <w:r>
          <w:rPr>
            <w:lang w:val="hi_IN" w:bidi="hi_IN"/>
          </w:rPr>
          <w:rPr>
            <w:color w:val="0000EE"/>
            <w:u w:val="single"/>
          </w:rPr>
          <w:t>15:1–58</w:t>
        </w:r>
      </w:hyperlink>
      <w:r>
        <w:rPr>
          <w:lang w:val="hi_IN" w:bidi="hi_IN"/>
        </w:rPr>
        <w:t>)</w:t>
      </w:r>
    </w:p>
    <w:p>
      <w:pPr>
        <w:pStyle w:val="Heading2"/>
      </w:pPr>
      <w:r>
        <w:rPr>
          <w:lang w:val="hi_IN" w:bidi="hi_IN"/>
        </w:rPr>
        <w:t>लेखक</w:t>
      </w:r>
    </w:p>
    <w:p>
      <w:pPr/>
      <w:r>
        <w:rPr>
          <w:lang w:val="hi_IN" w:bidi="hi_IN"/>
        </w:rPr>
      </w:r>
      <w:r>
        <w:rPr>
          <w:lang w:val="hi_IN" w:bidi="hi_IN"/>
        </w:rPr>
        <w:t xml:space="preserve">1 कुरिन्थियों के लेखक के रूप में पौलुस को व्यापक रूप से स्वीकार किया जाता है। हालांकि, कुछ लोग </w:t>
      </w:r>
      <w:hyperlink r:id="rId25">
        <w:r>
          <w:rPr>
            <w:lang w:val="hi_IN" w:bidi="hi_IN"/>
          </w:rPr>
          <w:rPr>
            <w:color w:val="0000EE"/>
            <w:u w:val="single"/>
          </w:rPr>
          <w:t>14:34–35</w:t>
        </w:r>
      </w:hyperlink>
      <w:r>
        <w:rPr>
          <w:lang w:val="hi_IN" w:bidi="hi_IN"/>
        </w:rP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hyperlink r:id="rId26">
        <w:r>
          <w:rPr>
            <w:lang w:val="hi_IN" w:bidi="hi_IN"/>
          </w:rPr>
          <w:rPr>
            <w:color w:val="0000EE"/>
            <w:u w:val="single"/>
          </w:rPr>
          <w:t>16:21</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यह पत्र कुरिन्थुस कलीसिया को पौलुस की तीसरी मिशनरी यात्रा के दौरान लिखा गया था, जब वे इफिसुस में दो से तीन साल तक रहे थे (लगभग ईस्वी 53–56; देखें </w:t>
      </w:r>
      <w:hyperlink r:id="rId27">
        <w:r>
          <w:rPr>
            <w:lang w:val="hi_IN" w:bidi="hi_IN"/>
          </w:rPr>
          <w:rPr>
            <w:color w:val="0000EE"/>
            <w:u w:val="single"/>
          </w:rPr>
          <w:t>प्रेरि 19:1–41</w:t>
        </w:r>
      </w:hyperlink>
      <w:r>
        <w:rPr>
          <w:lang w:val="hi_IN" w:bidi="hi_IN"/>
        </w:rPr>
        <w:t xml:space="preserve">)। पौलुस ने कुरिन्थुस की कलीसिया को पहले भी एक पत्र लिखा था (देखें </w:t>
      </w:r>
      <w:hyperlink r:id="rId28">
        <w:r>
          <w:rPr>
            <w:lang w:val="hi_IN" w:bidi="hi_IN"/>
          </w:rPr>
          <w:rPr>
            <w:color w:val="0000EE"/>
            <w:u w:val="single"/>
          </w:rPr>
          <w:t>1 कुरि 5:9</w:t>
        </w:r>
      </w:hyperlink>
      <w:r>
        <w:rPr>
          <w:lang w:val="hi_IN" w:bidi="hi_IN"/>
        </w:rPr>
        <w:t xml:space="preserve">), और कुरिन्थियों ने उन्हें कई मुद्दों पर सलाह मांगते हुए उत्तर दिया था (देखें, उदाहरण के लिए, </w:t>
      </w:r>
      <w:hyperlink r:id="rId29">
        <w:r>
          <w:rPr>
            <w:lang w:val="hi_IN" w:bidi="hi_IN"/>
          </w:rPr>
          <w:rPr>
            <w:color w:val="0000EE"/>
            <w:u w:val="single"/>
          </w:rPr>
          <w:t>7:1</w:t>
        </w:r>
      </w:hyperlink>
      <w:r>
        <w:rPr>
          <w:lang w:val="hi_IN" w:bidi="hi_IN"/>
        </w:rPr>
        <w:t xml:space="preserve">)। उन्हें कुरिन्थुस की जानकारी और आगंतुक भी मिले थे (देखें </w:t>
      </w:r>
      <w:hyperlink r:id="rId30">
        <w:r>
          <w:rPr>
            <w:lang w:val="hi_IN" w:bidi="hi_IN"/>
          </w:rPr>
          <w:rPr>
            <w:color w:val="0000EE"/>
            <w:u w:val="single"/>
          </w:rPr>
          <w:t>1:11</w:t>
        </w:r>
      </w:hyperlink>
      <w:r>
        <w:rPr>
          <w:lang w:val="hi_IN" w:bidi="hi_IN"/>
        </w:rPr>
        <w:t xml:space="preserve">; </w:t>
      </w:r>
      <w:hyperlink r:id="rId31">
        <w:r>
          <w:rPr>
            <w:lang w:val="hi_IN" w:bidi="hi_IN"/>
          </w:rPr>
          <w:rPr>
            <w:color w:val="0000EE"/>
            <w:u w:val="single"/>
          </w:rPr>
          <w:t>16:15–17</w:t>
        </w:r>
      </w:hyperlink>
      <w:r>
        <w:rPr>
          <w:lang w:val="hi_IN" w:bidi="hi_IN"/>
        </w:rP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rPr>
          <w:lang w:val="hi_IN" w:bidi="hi_IN"/>
        </w:rPr>
        <w:t>अखइकुस</w:t>
      </w:r>
      <w:r>
        <w:rPr>
          <w:lang w:val="hi_IN" w:bidi="hi_IN"/>
        </w:rPr>
        <w:t xml:space="preserve"> द्वारा कुरिन्थुस लौटते समय पहुंचाया गया होगा (देखें </w:t>
      </w:r>
      <w:hyperlink r:id="rId31">
        <w:r>
          <w:rPr>
            <w:lang w:val="hi_IN" w:bidi="hi_IN"/>
          </w:rPr>
          <w:rPr>
            <w:color w:val="0000EE"/>
            <w:u w:val="single"/>
          </w:rPr>
          <w:t>16:15–17</w:t>
        </w:r>
      </w:hyperlink>
      <w:r>
        <w:rPr>
          <w:lang w:val="hi_IN" w:bidi="hi_IN"/>
        </w:rPr>
        <w:t>)।</w:t>
      </w:r>
    </w:p>
    <w:p>
      <w:pPr/>
      <w:r>
        <w:rPr>
          <w:lang w:val="hi_IN" w:bidi="hi_IN"/>
        </w:rPr>
      </w:r>
      <w:r>
        <w:rPr>
          <w:lang w:val="hi_IN" w:bidi="hi_IN"/>
        </w:rP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hyperlink r:id="rId32">
        <w:r>
          <w:rPr>
            <w:lang w:val="hi_IN" w:bidi="hi_IN"/>
          </w:rPr>
          <w:rPr>
            <w:color w:val="0000EE"/>
            <w:u w:val="single"/>
          </w:rPr>
          <w:t>2 कुरि 2:1–11</w:t>
        </w:r>
      </w:hyperlink>
      <w:r>
        <w:rPr>
          <w:lang w:val="hi_IN" w:bidi="hi_IN"/>
        </w:rPr>
        <w:t xml:space="preserve">; </w:t>
      </w:r>
      <w:hyperlink r:id="rId33">
        <w:r>
          <w:rPr>
            <w:lang w:val="hi_IN" w:bidi="hi_IN"/>
          </w:rPr>
          <w:rPr>
            <w:color w:val="0000EE"/>
            <w:u w:val="single"/>
          </w:rPr>
          <w:t>7:8–10</w:t>
        </w:r>
      </w:hyperlink>
      <w:r>
        <w:rPr>
          <w:lang w:val="hi_IN" w:bidi="hi_IN"/>
        </w:rPr>
        <w:t xml:space="preserve">; </w:t>
      </w:r>
      <w:r>
        <w:rPr>
          <w:lang w:val="hi_IN" w:bidi="hi_IN"/>
        </w:rPr>
        <w:t>2 कुरिन्थियों पुस्तक परिचय, "लेखन की तिथि और अवसर"</w:t>
      </w:r>
      <w:r>
        <w:rPr>
          <w:lang w:val="hi_IN" w:bidi="hi_IN"/>
        </w:rPr>
        <w:t>)।</w:t>
      </w:r>
    </w:p>
    <w:p>
      <w:pPr>
        <w:pStyle w:val="Heading2"/>
      </w:pPr>
      <w:r>
        <w:rPr>
          <w:lang w:val="hi_IN" w:bidi="hi_IN"/>
        </w:rPr>
        <w:t>अर्थ और संदेश</w:t>
      </w:r>
    </w:p>
    <w:p>
      <w:pPr/>
      <w:r>
        <w:rPr>
          <w:lang w:val="hi_IN" w:bidi="hi_IN"/>
        </w:rPr>
      </w:r>
      <w:r>
        <w:rPr>
          <w:lang w:val="hi_IN" w:bidi="hi_IN"/>
        </w:rP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pPr/>
      <w:r>
        <w:rPr>
          <w:lang w:val="hi_IN" w:bidi="hi_IN"/>
        </w:rPr>
      </w:r>
      <w:r>
        <w:rPr>
          <w:lang w:val="hi_IN" w:bidi="hi_IN"/>
        </w:rP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pPr/>
      <w:r>
        <w:rPr>
          <w:lang w:val="hi_IN" w:bidi="hi_IN"/>
        </w:rPr>
      </w:r>
      <w:r>
        <w:rPr>
          <w:lang w:val="hi_IN" w:bidi="hi_IN"/>
        </w:rPr>
        <w:t>तो, उदाहरण के लिए, जब पौलुस यौन नैतिकता के मुद्दों को संबोधित करते हैं (</w:t>
      </w:r>
      <w:hyperlink r:id="rId34">
        <w:r>
          <w:rPr>
            <w:lang w:val="hi_IN" w:bidi="hi_IN"/>
          </w:rPr>
          <w:rPr>
            <w:color w:val="0000EE"/>
            <w:u w:val="single"/>
          </w:rPr>
          <w:t>5:1–6:20</w:t>
        </w:r>
      </w:hyperlink>
      <w:r>
        <w:rPr>
          <w:lang w:val="hi_IN" w:bidi="hi_IN"/>
        </w:rP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hyperlink r:id="rId35">
        <w:r>
          <w:rPr>
            <w:lang w:val="hi_IN" w:bidi="hi_IN"/>
          </w:rPr>
          <w:rPr>
            <w:color w:val="0000EE"/>
            <w:u w:val="single"/>
          </w:rPr>
          <w:t>6:15–20</w:t>
        </w:r>
      </w:hyperlink>
      <w:r>
        <w:rPr>
          <w:lang w:val="hi_IN" w:bidi="hi_IN"/>
        </w:rPr>
        <w:t>)।</w:t>
      </w:r>
    </w:p>
    <w:p>
      <w:pPr/>
      <w:r>
        <w:rPr>
          <w:lang w:val="hi_IN" w:bidi="hi_IN"/>
        </w:rPr>
      </w:r>
      <w:r>
        <w:rPr>
          <w:lang w:val="hi_IN" w:bidi="hi_IN"/>
        </w:rPr>
        <w:t>जब पौलुस विश्वासियों को एक दूसरे को अन्यजाति कानूनी अदालतों में ले जाने से हतोत्साहित करता है (</w:t>
      </w:r>
      <w:hyperlink r:id="rId36">
        <w:r>
          <w:rPr>
            <w:lang w:val="hi_IN" w:bidi="hi_IN"/>
          </w:rPr>
          <w:rPr>
            <w:color w:val="0000EE"/>
            <w:u w:val="single"/>
          </w:rPr>
          <w:t>6:1–8</w:t>
        </w:r>
      </w:hyperlink>
      <w:r>
        <w:rPr>
          <w:lang w:val="hi_IN" w:bidi="hi_IN"/>
        </w:rP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pPr/>
      <w:r>
        <w:rPr>
          <w:lang w:val="hi_IN" w:bidi="hi_IN"/>
        </w:rPr>
      </w:r>
      <w:r>
        <w:rPr>
          <w:lang w:val="hi_IN" w:bidi="hi_IN"/>
        </w:rPr>
        <w:t>जब पौलुस विवाह के बारे में सलाह देता है (</w:t>
      </w:r>
      <w:hyperlink r:id="rId20">
        <w:r>
          <w:rPr>
            <w:lang w:val="hi_IN" w:bidi="hi_IN"/>
          </w:rPr>
          <w:rPr>
            <w:color w:val="0000EE"/>
            <w:u w:val="single"/>
          </w:rPr>
          <w:t>7:1–40</w:t>
        </w:r>
      </w:hyperlink>
      <w:r>
        <w:rPr>
          <w:lang w:val="hi_IN" w:bidi="hi_IN"/>
        </w:rP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pPr/>
      <w:r>
        <w:rPr>
          <w:lang w:val="hi_IN" w:bidi="hi_IN"/>
        </w:rPr>
      </w:r>
      <w:r>
        <w:rPr>
          <w:lang w:val="hi_IN" w:bidi="hi_IN"/>
        </w:rPr>
        <w:t>जब वे विश्वासियों की स्वतंत्रता के संदर्भ में अन्यजाति देवताओं को अर्पित मांस खाने के बारे में बात करते हैं (</w:t>
      </w:r>
      <w:hyperlink r:id="rId37">
        <w:r>
          <w:rPr>
            <w:lang w:val="hi_IN" w:bidi="hi_IN"/>
          </w:rPr>
          <w:rPr>
            <w:color w:val="0000EE"/>
            <w:u w:val="single"/>
          </w:rPr>
          <w:t>8:1–13</w:t>
        </w:r>
      </w:hyperlink>
      <w:r>
        <w:rPr>
          <w:lang w:val="hi_IN" w:bidi="hi_IN"/>
        </w:rPr>
        <w:t xml:space="preserve">; </w:t>
      </w:r>
      <w:hyperlink r:id="rId38">
        <w:r>
          <w:rPr>
            <w:lang w:val="hi_IN" w:bidi="hi_IN"/>
          </w:rPr>
          <w:rPr>
            <w:color w:val="0000EE"/>
            <w:u w:val="single"/>
          </w:rPr>
          <w:t>10:1–11:1</w:t>
        </w:r>
      </w:hyperlink>
      <w:r>
        <w:rPr>
          <w:lang w:val="hi_IN" w:bidi="hi_IN"/>
        </w:rP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pPr/>
      <w:r>
        <w:rPr>
          <w:lang w:val="hi_IN" w:bidi="hi_IN"/>
        </w:rPr>
      </w:r>
      <w:r>
        <w:rPr>
          <w:lang w:val="hi_IN" w:bidi="hi_IN"/>
        </w:rP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hyperlink r:id="rId39">
        <w:r>
          <w:rPr>
            <w:lang w:val="hi_IN" w:bidi="hi_IN"/>
          </w:rPr>
          <w:rPr>
            <w:color w:val="0000EE"/>
            <w:u w:val="single"/>
          </w:rPr>
          <w:t>10:31–33</w:t>
        </w:r>
      </w:hyperlink>
      <w:r>
        <w:rPr>
          <w:lang w:val="hi_IN" w:bidi="hi_IN"/>
        </w:rPr>
        <w:t>)। यह पौलुस का यीशु की दो महान प्रेम आज्ञाओं के समकक्ष है (</w:t>
      </w:r>
      <w:hyperlink r:id="rId40">
        <w:r>
          <w:rPr>
            <w:lang w:val="hi_IN" w:bidi="hi_IN"/>
          </w:rPr>
          <w:rPr>
            <w:color w:val="0000EE"/>
            <w:u w:val="single"/>
          </w:rPr>
          <w:t>मत्ती 22:36–40</w:t>
        </w:r>
      </w:hyperlink>
      <w:r>
        <w:rPr>
          <w:lang w:val="hi_IN" w:bidi="hi_IN"/>
        </w:rPr>
        <w:t xml:space="preserve">; </w:t>
      </w:r>
      <w:hyperlink r:id="rId41">
        <w:r>
          <w:rPr>
            <w:lang w:val="hi_IN" w:bidi="hi_IN"/>
          </w:rPr>
          <w:rPr>
            <w:color w:val="0000EE"/>
            <w:u w:val="single"/>
          </w:rPr>
          <w:t>लूका 10:25–37</w:t>
        </w:r>
      </w:hyperlink>
      <w:r>
        <w:rPr>
          <w:lang w:val="hi_IN" w:bidi="hi_IN"/>
        </w:rPr>
        <w:t>)। इस पत्र में, हम अन्य जगहों की तुलना में अधिक स्पष्ट रूप से देखते हैं कि कैसे पौलुस इन स्थायी सिद्धांतों को व्यापक व्यावहारिक समस्याओं पर लागू करता है।</w:t>
      </w:r>
    </w:p>
    <w:p>
      <w:pPr/>
      <w:r>
        <w:rPr>
          <w:lang w:val="hi_IN" w:bidi="hi_IN"/>
        </w:rPr>
      </w:r>
      <w:r>
        <w:rPr>
          <w:lang w:val="hi_IN" w:bidi="hi_IN"/>
        </w:rPr>
        <w:t>पौलुस की सुसमाचार प्रचार की समझ। जब पौलुस को उनके कुछ अपरिष्कृत और गैर-बौद्धिक दृष्टिकोण के लिए आलोचना की जाती है (</w:t>
      </w:r>
      <w:hyperlink r:id="rId18">
        <w:r>
          <w:rPr>
            <w:lang w:val="hi_IN" w:bidi="hi_IN"/>
          </w:rPr>
          <w:rPr>
            <w:color w:val="0000EE"/>
            <w:u w:val="single"/>
          </w:rPr>
          <w:t>1 कुरि 1:1–4:21</w:t>
        </w:r>
      </w:hyperlink>
      <w:r>
        <w:rPr>
          <w:lang w:val="hi_IN" w:bidi="hi_IN"/>
        </w:rP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pPr/>
      <w:r>
        <w:rPr>
          <w:lang w:val="hi_IN" w:bidi="hi_IN"/>
        </w:rPr>
      </w:r>
      <w:r>
        <w:rPr>
          <w:lang w:val="hi_IN" w:bidi="hi_IN"/>
        </w:rP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hyperlink r:id="rId42">
        <w:r>
          <w:rPr>
            <w:lang w:val="hi_IN" w:bidi="hi_IN"/>
          </w:rPr>
          <w:rPr>
            <w:color w:val="0000EE"/>
            <w:u w:val="single"/>
          </w:rPr>
          <w:t>1:10–4:21</w:t>
        </w:r>
      </w:hyperlink>
      <w:r>
        <w:rPr>
          <w:lang w:val="hi_IN" w:bidi="hi_IN"/>
        </w:rPr>
        <w:t xml:space="preserve">, कलीसिया में गुट; </w:t>
      </w:r>
      <w:hyperlink r:id="rId43">
        <w:r>
          <w:rPr>
            <w:lang w:val="hi_IN" w:bidi="hi_IN"/>
          </w:rPr>
          <w:rPr>
            <w:color w:val="0000EE"/>
            <w:u w:val="single"/>
          </w:rPr>
          <w:t>6:1–12</w:t>
        </w:r>
      </w:hyperlink>
      <w:r>
        <w:rPr>
          <w:lang w:val="hi_IN" w:bidi="hi_IN"/>
        </w:rPr>
        <w:t xml:space="preserve">, साथी मसीही के खिलाफ मुकदमे; </w:t>
      </w:r>
      <w:hyperlink r:id="rId44">
        <w:r>
          <w:rPr>
            <w:lang w:val="hi_IN" w:bidi="hi_IN"/>
          </w:rPr>
          <w:rPr>
            <w:color w:val="0000EE"/>
            <w:u w:val="single"/>
          </w:rPr>
          <w:t>8:1–11:1</w:t>
        </w:r>
      </w:hyperlink>
      <w:r>
        <w:rPr>
          <w:lang w:val="hi_IN" w:bidi="hi_IN"/>
        </w:rPr>
        <w:t xml:space="preserve">, मूर्तियों को अर्पित भोजन पर विभिन्न विचार; </w:t>
      </w:r>
      <w:hyperlink r:id="rId45">
        <w:r>
          <w:rPr>
            <w:lang w:val="hi_IN" w:bidi="hi_IN"/>
          </w:rPr>
          <w:rPr>
            <w:color w:val="0000EE"/>
            <w:u w:val="single"/>
          </w:rPr>
          <w:t>11:2–16</w:t>
        </w:r>
      </w:hyperlink>
      <w:r>
        <w:rPr>
          <w:lang w:val="hi_IN" w:bidi="hi_IN"/>
        </w:rPr>
        <w:t xml:space="preserve">, सार्वजनिक रूप से सेवा करने वाली स्त्रीओं के लिए उपयुक्त पोशाक पर विभिन्न विचार; </w:t>
      </w:r>
      <w:hyperlink r:id="rId46">
        <w:r>
          <w:rPr>
            <w:lang w:val="hi_IN" w:bidi="hi_IN"/>
          </w:rPr>
          <w:rPr>
            <w:color w:val="0000EE"/>
            <w:u w:val="single"/>
          </w:rPr>
          <w:t>11:17–34</w:t>
        </w:r>
      </w:hyperlink>
      <w:r>
        <w:rPr>
          <w:lang w:val="hi_IN" w:bidi="hi_IN"/>
        </w:rP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hyperlink r:id="rId47">
        <w:r>
          <w:rPr>
            <w:lang w:val="hi_IN" w:bidi="hi_IN"/>
          </w:rPr>
          <w:rPr>
            <w:color w:val="0000EE"/>
            <w:u w:val="single"/>
          </w:rPr>
          <w:t>13</w:t>
        </w:r>
      </w:hyperlink>
      <w:r>
        <w:rPr>
          <w:lang w:val="hi_IN" w:bidi="hi_IN"/>
        </w:rPr>
        <w:t>), बलिदानपूर्ण प्रेम में अन्य विश्वासियों से संबंध रखने के महत्व पर प्रकाश डालता है, जिस तरह का प्रेम स्वयं मसीह ने दिखाया है।</w:t>
      </w:r>
    </w:p>
    <w:p>
      <w:pPr/>
      <w:r>
        <w:rPr>
          <w:lang w:val="hi_IN" w:bidi="hi_IN"/>
        </w:rPr>
      </w:r>
      <w:r>
        <w:rPr>
          <w:lang w:val="hi_IN" w:bidi="hi_IN"/>
        </w:rP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hyperlink r:id="rId48">
        <w:r>
          <w:rPr>
            <w:lang w:val="hi_IN" w:bidi="hi_IN"/>
          </w:rPr>
          <w:rPr>
            <w:color w:val="0000EE"/>
            <w:u w:val="single"/>
          </w:rPr>
          <w:t>7:25–31</w:t>
        </w:r>
      </w:hyperlink>
      <w:r>
        <w:rPr>
          <w:lang w:val="hi_IN" w:bidi="hi_IN"/>
        </w:rP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hyperlink r:id="rId49">
        <w:r>
          <w:rPr>
            <w:lang w:val="hi_IN" w:bidi="hi_IN"/>
          </w:rPr>
          <w:rPr>
            <w:color w:val="0000EE"/>
            <w:u w:val="single"/>
          </w:rPr>
          <w:t>7:32–35</w:t>
        </w:r>
      </w:hyperlink>
      <w:r>
        <w:rPr>
          <w:lang w:val="hi_IN" w:bidi="hi_IN"/>
        </w:rPr>
        <w:t>)। जीवन जीने के दो तरीके (विवाहित और अविवाहित) अपने आप में अंत नहीं हैं, बल्कि मसीह की सेवा करने के अधिक महत्वपूर्ण उद्देश्य में भाग लेने के वैकल्पिक तरीके हैं।</w:t>
      </w:r>
    </w:p>
    <w:p>
      <w:pPr/>
      <w:r>
        <w:rPr>
          <w:lang w:val="hi_IN" w:bidi="hi_IN"/>
        </w:rPr>
      </w:r>
      <w:r>
        <w:rPr>
          <w:lang w:val="hi_IN" w:bidi="hi_IN"/>
        </w:rP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hyperlink r:id="rId50">
        <w:r>
          <w:rPr>
            <w:lang w:val="hi_IN" w:bidi="hi_IN"/>
          </w:rPr>
          <w:rPr>
            <w:color w:val="0000EE"/>
            <w:u w:val="single"/>
          </w:rPr>
          <w:t>10–11</w:t>
        </w:r>
      </w:hyperlink>
      <w:r>
        <w:rPr>
          <w:lang w:val="hi_IN" w:bidi="hi_IN"/>
        </w:rPr>
        <w:t>)।</w:t>
      </w:r>
    </w:p>
    <w:p>
      <w:pPr/>
      <w:r>
        <w:rPr>
          <w:lang w:val="hi_IN" w:bidi="hi_IN"/>
        </w:rPr>
      </w:r>
      <w:r>
        <w:rPr>
          <w:lang w:val="hi_IN" w:bidi="hi_IN"/>
        </w:rP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hyperlink r:id="rId51">
        <w:r>
          <w:rPr>
            <w:lang w:val="hi_IN" w:bidi="hi_IN"/>
          </w:rPr>
          <w:rPr>
            <w:color w:val="0000EE"/>
            <w:u w:val="single"/>
          </w:rPr>
          <w:t>12</w:t>
        </w:r>
      </w:hyperlink>
      <w:r>
        <w:rPr>
          <w:lang w:val="hi_IN" w:bidi="hi_IN"/>
        </w:rPr>
        <w:t xml:space="preserve">, </w:t>
      </w:r>
      <w:hyperlink r:id="rId52">
        <w:r>
          <w:rPr>
            <w:lang w:val="hi_IN" w:bidi="hi_IN"/>
          </w:rPr>
          <w:rPr>
            <w:color w:val="0000EE"/>
            <w:u w:val="single"/>
          </w:rPr>
          <w:t>14</w:t>
        </w:r>
      </w:hyperlink>
      <w:r>
        <w:rPr>
          <w:lang w:val="hi_IN" w:bidi="hi_IN"/>
        </w:rPr>
        <w:t>)। मसीही आंदोलन के इन शुरुआती दिनों में, पासवान और आम लोगों के बीच कोई अंतर नहीं है, लेकिन जब मसीही इकट्ठा होते हैं तो अलग-अलग भूमिकाएँ आत्मा के वरदानों की एक पूरक सेवकाई बनाती हैं। प्रत्येक व्यक्ति को देह के निर्माण में भूमिका निभानी होती है, और व्यक्ति अपनी सेवकाई में उन्हें सशक्त बनाने और मार्गदर्शन करने के लिए आत्मा पर निर्भर होते हैं।</w:t>
      </w:r>
    </w:p>
    <w:p>
      <w:pPr/>
      <w:r>
        <w:rPr>
          <w:lang w:val="hi_IN" w:bidi="hi_IN"/>
        </w:rPr>
      </w:r>
      <w:r>
        <w:rPr>
          <w:lang w:val="hi_IN" w:bidi="hi_IN"/>
        </w:rPr>
        <w:t xml:space="preserve">पुनरुत्थान। नए नियम के लेखनों में, यह पत्र हमें पुनरुत्थान (अध्याय </w:t>
      </w:r>
      <w:hyperlink r:id="rId24">
        <w:r>
          <w:rPr>
            <w:lang w:val="hi_IN" w:bidi="hi_IN"/>
          </w:rPr>
          <w:rPr>
            <w:color w:val="0000EE"/>
            <w:u w:val="single"/>
          </w:rPr>
          <w:t>15</w:t>
        </w:r>
      </w:hyperlink>
      <w:r>
        <w:rPr>
          <w:lang w:val="hi_IN" w:bidi="hi_IN"/>
        </w:rP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