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2"/>
      </w:pPr>
      <w:r>
        <w:rPr>
          <w:lang w:val="id_ID" w:bidi="id_ID"/>
        </w:rPr>
        <w:t>Pengaturan</w:t>
      </w:r>
    </w:p>
    <w:p>
      <w:pPr/>
      <w:r>
        <w:rPr>
          <w:lang w:val="id_ID" w:bidi="id_ID"/>
        </w:rPr>
      </w:r>
      <w:r>
        <w:rPr>
          <w:lang w:val="id_ID" w:bidi="id_ID"/>
        </w:rP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pPr/>
      <w:r>
        <w:rPr>
          <w:lang w:val="id_ID" w:bidi="id_ID"/>
        </w:rPr>
      </w:r>
      <w:r>
        <w:rPr>
          <w:lang w:val="id_ID" w:bidi="id_ID"/>
        </w:rPr>
        <w:t>Kidung Agung dikaitkan dengan Salomo, putra Daud dan raja ketiga Israel (lihat "</w:t>
      </w:r>
      <w:r>
        <w:rPr>
          <w:lang w:val="id_ID" w:bidi="id_ID"/>
        </w:rPr>
        <w:t>Kepengarangan</w:t>
      </w:r>
      <w:r>
        <w:rPr>
          <w:lang w:val="id_ID" w:bidi="id_ID"/>
        </w:rPr>
        <w:t xml:space="preserve">" di bawah; lihat juga </w:t>
      </w:r>
      <w:hyperlink r:id="rId13">
        <w:r>
          <w:rPr>
            <w:lang w:val="id_ID" w:bidi="id_ID"/>
          </w:rPr>
          <w:rPr>
            <w:color w:val="0000EE"/>
            <w:u w:val="single"/>
          </w:rPr>
          <w:t>1:1</w:t>
        </w:r>
      </w:hyperlink>
      <w:r>
        <w:rPr>
          <w:lang w:val="id_ID" w:bidi="id_ID"/>
        </w:rPr>
        <w:t>). Salomo juga disebutkan dalam beberapa puisi, baik secara negatif maupun positif. Motivasi penulis tampaknya adalah untuk merayakan kasih dan seksualitas yang merupakan anugerah yang indah dari Allah.</w:t>
      </w:r>
    </w:p>
    <w:p>
      <w:pPr>
        <w:pStyle w:val="Heading2"/>
      </w:pPr>
      <w:r>
        <w:rPr>
          <w:lang w:val="id_ID" w:bidi="id_ID"/>
        </w:rPr>
        <w:t>Kepengarangan</w:t>
      </w:r>
    </w:p>
    <w:p>
      <w:pPr/>
      <w:r>
        <w:rPr>
          <w:lang w:val="id_ID" w:bidi="id_ID"/>
        </w:rPr>
      </w:r>
      <w:r>
        <w:rPr>
          <w:lang w:val="id_ID" w:bidi="id_ID"/>
        </w:rPr>
        <w:t>Kalimat pembuka (baris pertama teks) secara harfiah menyebut karya ini sebagai “Kidung Agung Salomo.” Banyak orang yang meyakini bahwa Salomo menulis seluruh buku ini.</w:t>
      </w:r>
    </w:p>
    <w:p>
      <w:pPr/>
      <w:r>
        <w:rPr>
          <w:lang w:val="id_ID" w:bidi="id_ID"/>
        </w:rPr>
      </w:r>
      <w:r>
        <w:rPr>
          <w:lang w:val="id_ID" w:bidi="id_ID"/>
        </w:rP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pPr/>
      <w:r>
        <w:rPr>
          <w:lang w:val="id_ID" w:bidi="id_ID"/>
        </w:rPr>
      </w:r>
      <w:r>
        <w:rPr>
          <w:lang w:val="id_ID" w:bidi="id_ID"/>
        </w:rPr>
        <w:t>Masalah lain dengan menerima Salomo sebagai satu-satunya penulis adalah karena dia bukanlah contoh yang baik dari kasih ilahi—justru cintanya kepada banyak wanita asing yang menjauhkannya dari Tuhan (</w:t>
      </w:r>
      <w:hyperlink r:id="rId14">
        <w:r>
          <w:rPr>
            <w:lang w:val="id_ID" w:bidi="id_ID"/>
          </w:rPr>
          <w:rPr>
            <w:color w:val="0000EE"/>
            <w:u w:val="single"/>
          </w:rPr>
          <w:t>1 Rj 11:1–13</w:t>
        </w:r>
      </w:hyperlink>
      <w:r>
        <w:rPr>
          <w:lang w:val="id_ID" w:bidi="id_ID"/>
        </w:rPr>
        <w:t xml:space="preserve">). Faktanya, satu-satunya referensi positif tentang Salomo dalam Kidung Agung terdapat pada </w:t>
      </w:r>
      <w:hyperlink r:id="rId15">
        <w:r>
          <w:rPr>
            <w:lang w:val="id_ID" w:bidi="id_ID"/>
          </w:rPr>
          <w:rPr>
            <w:color w:val="0000EE"/>
            <w:u w:val="single"/>
          </w:rPr>
          <w:t>Kidung Agung 3:6–11</w:t>
        </w:r>
      </w:hyperlink>
      <w:r>
        <w:rPr>
          <w:lang w:val="id_ID" w:bidi="id_ID"/>
        </w:rPr>
        <w:t xml:space="preserve">, sementara itu, </w:t>
      </w:r>
      <w:hyperlink r:id="rId16">
        <w:r>
          <w:rPr>
            <w:lang w:val="id_ID" w:bidi="id_ID"/>
          </w:rPr>
          <w:rPr>
            <w:color w:val="0000EE"/>
            <w:u w:val="single"/>
          </w:rPr>
          <w:t>8:11–12</w:t>
        </w:r>
      </w:hyperlink>
      <w:r>
        <w:rPr>
          <w:lang w:val="id_ID" w:bidi="id_ID"/>
        </w:rPr>
        <w:t xml:space="preserve"> menggambarkannya secara negatif dan </w:t>
      </w:r>
      <w:hyperlink r:id="rId17">
        <w:r>
          <w:rPr>
            <w:lang w:val="id_ID" w:bidi="id_ID"/>
          </w:rPr>
          <w:rPr>
            <w:color w:val="0000EE"/>
            <w:u w:val="single"/>
          </w:rPr>
          <w:t>1:5</w:t>
        </w:r>
      </w:hyperlink>
      <w:r>
        <w:rPr>
          <w:lang w:val="id_ID" w:bidi="id_ID"/>
        </w:rP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2"/>
      </w:pPr>
      <w:r>
        <w:rPr>
          <w:lang w:val="id_ID" w:bidi="id_ID"/>
        </w:rPr>
        <w:t>Menafsirkan Kidung Agung</w:t>
      </w:r>
    </w:p>
    <w:p>
      <w:pPr/>
      <w:r>
        <w:rPr>
          <w:lang w:val="id_ID" w:bidi="id_ID"/>
        </w:rPr>
      </w:r>
      <w:r>
        <w:rPr>
          <w:lang w:val="id_ID" w:bidi="id_ID"/>
        </w:rP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pPr/>
      <w:r>
        <w:rPr>
          <w:lang w:val="id_ID" w:bidi="id_ID"/>
        </w:rPr>
      </w:r>
      <w:r>
        <w:rPr>
          <w:lang w:val="id_ID" w:bidi="id_ID"/>
        </w:rP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pPr/>
      <w:r>
        <w:rPr>
          <w:lang w:val="id_ID" w:bidi="id_ID"/>
        </w:rPr>
      </w:r>
      <w:r>
        <w:rPr>
          <w:lang w:val="id_ID" w:bidi="id_ID"/>
        </w:rP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pPr/>
      <w:r>
        <w:rPr>
          <w:lang w:val="id_ID" w:bidi="id_ID"/>
        </w:rPr>
      </w:r>
      <w:r>
        <w:rPr>
          <w:lang w:val="id_ID" w:bidi="id_ID"/>
        </w:rP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pPr/>
      <w:r>
        <w:rPr>
          <w:lang w:val="id_ID" w:bidi="id_ID"/>
        </w:rPr>
      </w:r>
      <w:r>
        <w:rPr>
          <w:lang w:val="id_ID" w:bidi="id_ID"/>
        </w:rPr>
        <w:t>Lebih lanjut, arkeologi telah menemukan banyak hal dari kebudayaan kuno Mesir dan Mesopotamia. Mesir menghasilkan puisi cinta yang mirip dengan Kidung Agung, yang hanya dapat dipahami sebagai puisi cinta manusia.</w:t>
      </w:r>
    </w:p>
    <w:p>
      <w:pPr/>
      <w:r>
        <w:rPr>
          <w:lang w:val="id_ID" w:bidi="id_ID"/>
        </w:rPr>
      </w:r>
      <w:r>
        <w:rPr>
          <w:lang w:val="id_ID" w:bidi="id_ID"/>
        </w:rP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pPr/>
      <w:r>
        <w:rPr>
          <w:lang w:val="id_ID" w:bidi="id_ID"/>
        </w:rPr>
      </w:r>
      <w:r>
        <w:rPr>
          <w:lang w:val="id_ID" w:bidi="id_ID"/>
        </w:rP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pPr/>
      <w:r>
        <w:rPr>
          <w:lang w:val="id_ID" w:bidi="id_ID"/>
        </w:rPr>
      </w:r>
      <w:r>
        <w:rPr>
          <w:lang w:val="id_ID" w:bidi="id_ID"/>
        </w:rPr>
        <w:t>Kelemahan utama dari perspektif drama adalah: (1) Tidak adanya narator untuk memandu pembacaan cerita, dan (2) ada banyak kemungkinan cerita yang berbeda, dan setiap penafsir tampaknya melihat cerita yang berbeda.</w:t>
      </w:r>
    </w:p>
    <w:p>
      <w:pPr/>
      <w:r>
        <w:rPr>
          <w:lang w:val="id_ID" w:bidi="id_ID"/>
        </w:rPr>
      </w:r>
      <w:r>
        <w:rPr>
          <w:lang w:val="id_ID" w:bidi="id_ID"/>
        </w:rP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pPr/>
      <w:r>
        <w:rPr>
          <w:lang w:val="id_ID" w:bidi="id_ID"/>
        </w:rPr>
      </w:r>
      <w:r>
        <w:rPr>
          <w:lang w:val="id_ID" w:bidi="id_ID"/>
        </w:rPr>
        <w:t>Jika terdapat wanita yang istimewa dalam kehidupan Salomo, Kitab Suci menunjukkan bahwa wanita itu adalah putri Firaun, yang dinikahinya di usia muda (</w:t>
      </w:r>
      <w:hyperlink r:id="rId18">
        <w:r>
          <w:rPr>
            <w:lang w:val="id_ID" w:bidi="id_ID"/>
          </w:rPr>
          <w:rPr>
            <w:color w:val="0000EE"/>
            <w:u w:val="single"/>
          </w:rPr>
          <w:t>1 Rj. 3:1</w:t>
        </w:r>
      </w:hyperlink>
      <w:r>
        <w:rPr>
          <w:lang w:val="id_ID" w:bidi="id_ID"/>
        </w:rPr>
        <w:t xml:space="preserve">; </w:t>
      </w:r>
      <w:hyperlink r:id="rId19">
        <w:r>
          <w:rPr>
            <w:lang w:val="id_ID" w:bidi="id_ID"/>
          </w:rPr>
          <w:rPr>
            <w:color w:val="0000EE"/>
            <w:u w:val="single"/>
          </w:rPr>
          <w:t>7:8</w:t>
        </w:r>
      </w:hyperlink>
      <w:r>
        <w:rPr>
          <w:lang w:val="id_ID" w:bidi="id_ID"/>
        </w:rPr>
        <w:t xml:space="preserve">; </w:t>
      </w:r>
      <w:hyperlink r:id="rId20">
        <w:r>
          <w:rPr>
            <w:lang w:val="id_ID" w:bidi="id_ID"/>
          </w:rPr>
          <w:rPr>
            <w:color w:val="0000EE"/>
            <w:u w:val="single"/>
          </w:rPr>
          <w:t>9:24</w:t>
        </w:r>
      </w:hyperlink>
      <w:r>
        <w:rPr>
          <w:lang w:val="id_ID" w:bidi="id_ID"/>
        </w:rPr>
        <w:t xml:space="preserve">; </w:t>
      </w:r>
      <w:hyperlink r:id="rId21">
        <w:r>
          <w:rPr>
            <w:lang w:val="id_ID" w:bidi="id_ID"/>
          </w:rPr>
          <w:rPr>
            <w:color w:val="0000EE"/>
            <w:u w:val="single"/>
          </w:rPr>
          <w:t>11:1</w:t>
        </w:r>
      </w:hyperlink>
      <w:r>
        <w:rPr>
          <w:lang w:val="id_ID" w:bidi="id_ID"/>
        </w:rP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hyperlink r:id="rId22">
        <w:r>
          <w:rPr>
            <w:lang w:val="id_ID" w:bidi="id_ID"/>
          </w:rPr>
          <w:rPr>
            <w:color w:val="0000EE"/>
            <w:u w:val="single"/>
          </w:rPr>
          <w:t>Kidung Agung 6:8</w:t>
        </w:r>
      </w:hyperlink>
      <w:r>
        <w:rPr>
          <w:lang w:val="id_ID" w:bidi="id_ID"/>
        </w:rPr>
        <w:t>. Dengan kata lain, jika jalinan asmara antara Salomo dan wanita itu begitu tulus, mengapa Salomo menambah ratusan wanita lain ke dalam haremnya?</w:t>
      </w:r>
    </w:p>
    <w:p>
      <w:pPr/>
      <w:r>
        <w:rPr>
          <w:lang w:val="id_ID" w:bidi="id_ID"/>
        </w:rPr>
      </w:r>
      <w:r>
        <w:rPr>
          <w:lang w:val="id_ID" w:bidi="id_ID"/>
        </w:rP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hyperlink r:id="rId16">
        <w:r>
          <w:rPr>
            <w:lang w:val="id_ID" w:bidi="id_ID"/>
          </w:rPr>
          <w:rPr>
            <w:color w:val="0000EE"/>
            <w:u w:val="single"/>
          </w:rPr>
          <w:t>8:11–12</w:t>
        </w:r>
      </w:hyperlink>
      <w:r>
        <w:rPr>
          <w:lang w:val="id_ID" w:bidi="id_ID"/>
        </w:rPr>
        <w:t>). Dia tidak dapat membayar karena saudara-saudaranya yang marah memaksanya untuk mengurus kebun anggur selain miliknya (</w:t>
      </w:r>
      <w:hyperlink r:id="rId23">
        <w:r>
          <w:rPr>
            <w:lang w:val="id_ID" w:bidi="id_ID"/>
          </w:rPr>
          <w:rPr>
            <w:color w:val="0000EE"/>
            <w:u w:val="single"/>
          </w:rPr>
          <w:t>1:6</w:t>
        </w:r>
      </w:hyperlink>
      <w:r>
        <w:rPr>
          <w:lang w:val="id_ID" w:bidi="id_ID"/>
        </w:rPr>
        <w:t>). Jadi meskipun dia berada di istana kota yang sangat dekat dan berpotensi mesra dengan raja (</w:t>
      </w:r>
      <w:hyperlink r:id="rId24">
        <w:r>
          <w:rPr>
            <w:lang w:val="id_ID" w:bidi="id_ID"/>
          </w:rPr>
          <w:rPr>
            <w:color w:val="0000EE"/>
            <w:u w:val="single"/>
          </w:rPr>
          <w:t>1:12</w:t>
        </w:r>
      </w:hyperlink>
      <w:r>
        <w:rPr>
          <w:lang w:val="id_ID" w:bidi="id_ID"/>
        </w:rPr>
        <w:t>), pikirannya yang penuh gairah tertuju pada cintanya kepada seorang gembala biasa di pedesaan (</w:t>
      </w:r>
      <w:hyperlink r:id="rId25">
        <w:r>
          <w:rPr>
            <w:lang w:val="id_ID" w:bidi="id_ID"/>
          </w:rPr>
          <w:rPr>
            <w:color w:val="0000EE"/>
            <w:u w:val="single"/>
          </w:rPr>
          <w:t>1:7</w:t>
        </w:r>
      </w:hyperlink>
      <w:r>
        <w:rPr>
          <w:lang w:val="id_ID" w:bidi="id_ID"/>
        </w:rP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hyperlink r:id="rId26">
        <w:r>
          <w:rPr>
            <w:lang w:val="id_ID" w:bidi="id_ID"/>
          </w:rPr>
          <w:rPr>
            <w:color w:val="0000EE"/>
            <w:u w:val="single"/>
          </w:rPr>
          <w:t>8:12–14</w:t>
        </w:r>
      </w:hyperlink>
      <w:r>
        <w:rPr>
          <w:lang w:val="id_ID" w:bidi="id_ID"/>
        </w:rPr>
        <w:t>).</w:t>
      </w:r>
    </w:p>
    <w:p>
      <w:pPr/>
      <w:r>
        <w:rPr>
          <w:lang w:val="id_ID" w:bidi="id_ID"/>
        </w:rPr>
      </w:r>
      <w:r>
        <w:rPr>
          <w:lang w:val="id_ID" w:bidi="id_ID"/>
        </w:rP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pPr/>
      <w:r>
        <w:rPr>
          <w:lang w:val="id_ID" w:bidi="id_ID"/>
        </w:rPr>
      </w:r>
      <w:r>
        <w:rPr>
          <w:lang w:val="id_ID" w:bidi="id_ID"/>
        </w:rPr>
        <w:t>Dari perspektif ini, Kidung Agung tersusun dari sekitar dua puluh puisi cinta yang diikat oleh konsistensi tokoh, refrain, gambaran-gambaran berulang, dan perangkat pengikat puisi lainnya.</w:t>
      </w:r>
    </w:p>
    <w:p>
      <w:pPr/>
      <w:r>
        <w:rPr>
          <w:lang w:val="id_ID" w:bidi="id_ID"/>
        </w:rPr>
      </w:r>
      <w:r>
        <w:rPr>
          <w:lang w:val="id_ID" w:bidi="id_ID"/>
        </w:rP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pPr/>
      <w:r>
        <w:rPr>
          <w:lang w:val="id_ID" w:bidi="id_ID"/>
        </w:rPr>
      </w:r>
      <w:r>
        <w:rPr>
          <w:lang w:val="id_ID" w:bidi="id_ID"/>
        </w:rP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2"/>
      </w:pPr>
      <w:r>
        <w:rPr>
          <w:lang w:val="id_ID" w:bidi="id_ID"/>
        </w:rPr>
        <w:t>Pernikahan dalam Kidung Agung</w:t>
      </w:r>
    </w:p>
    <w:p>
      <w:pPr/>
      <w:r>
        <w:rPr>
          <w:lang w:val="id_ID" w:bidi="id_ID"/>
        </w:rPr>
      </w:r>
      <w:r>
        <w:rPr>
          <w:lang w:val="id_ID" w:bidi="id_ID"/>
        </w:rP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hyperlink r:id="rId27">
        <w:r>
          <w:rPr>
            <w:lang w:val="id_ID" w:bidi="id_ID"/>
          </w:rPr>
          <w:rPr>
            <w:color w:val="0000EE"/>
            <w:u w:val="single"/>
          </w:rPr>
          <w:t>4:8–12</w:t>
        </w:r>
      </w:hyperlink>
      <w:r>
        <w:rPr>
          <w:lang w:val="id_ID" w:bidi="id_ID"/>
        </w:rPr>
        <w:t>).</w:t>
      </w:r>
    </w:p>
    <w:p>
      <w:pPr/>
      <w:r>
        <w:rPr>
          <w:lang w:val="id_ID" w:bidi="id_ID"/>
        </w:rPr>
      </w:r>
      <w:r>
        <w:rPr>
          <w:lang w:val="id_ID" w:bidi="id_ID"/>
        </w:rP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hyperlink r:id="rId28">
        <w:r>
          <w:rPr>
            <w:lang w:val="id_ID" w:bidi="id_ID"/>
          </w:rPr>
          <w:rPr>
            <w:color w:val="0000EE"/>
            <w:u w:val="single"/>
          </w:rPr>
          <w:t>39</w:t>
        </w:r>
      </w:hyperlink>
      <w:r>
        <w:rPr>
          <w:lang w:val="id_ID" w:bidi="id_ID"/>
        </w:rPr>
        <w:t xml:space="preserve">), hukum (lihat </w:t>
      </w:r>
      <w:hyperlink r:id="rId29">
        <w:r>
          <w:rPr>
            <w:lang w:val="id_ID" w:bidi="id_ID"/>
          </w:rPr>
          <w:rPr>
            <w:color w:val="0000EE"/>
            <w:u w:val="single"/>
          </w:rPr>
          <w:t>Kel. 20:14</w:t>
        </w:r>
      </w:hyperlink>
      <w:r>
        <w:rPr>
          <w:lang w:val="id_ID" w:bidi="id_ID"/>
        </w:rPr>
        <w:t xml:space="preserve">), dan kitab hikmat (lihat Ams. </w:t>
      </w:r>
      <w:hyperlink r:id="rId30">
        <w:r>
          <w:rPr>
            <w:lang w:val="id_ID" w:bidi="id_ID"/>
          </w:rPr>
          <w:rPr>
            <w:color w:val="0000EE"/>
            <w:u w:val="single"/>
          </w:rPr>
          <w:t>5–7</w:t>
        </w:r>
      </w:hyperlink>
      <w:r>
        <w:rPr>
          <w:lang w:val="id_ID" w:bidi="id_ID"/>
        </w:rP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2"/>
      </w:pPr>
      <w:r>
        <w:rPr>
          <w:lang w:val="id_ID" w:bidi="id_ID"/>
        </w:rPr>
        <w:t>Makna dan Pesan</w:t>
      </w:r>
    </w:p>
    <w:p>
      <w:pPr/>
      <w:r>
        <w:rPr>
          <w:lang w:val="id_ID" w:bidi="id_ID"/>
        </w:rPr>
      </w:r>
      <w:r>
        <w:rPr>
          <w:lang w:val="id_ID" w:bidi="id_ID"/>
        </w:rP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pPr/>
      <w:r>
        <w:rPr>
          <w:lang w:val="id_ID" w:bidi="id_ID"/>
        </w:rPr>
      </w:r>
      <w:r>
        <w:rPr>
          <w:lang w:val="id_ID" w:bidi="id_ID"/>
        </w:rP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pPr/>
      <w:r>
        <w:rPr>
          <w:lang w:val="id_ID" w:bidi="id_ID"/>
        </w:rPr>
      </w:r>
      <w:r>
        <w:rPr>
          <w:lang w:val="id_ID" w:bidi="id_ID"/>
        </w:rP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