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hyperlink r:id="rId13">
        <w:r>
          <w:rPr>
            <w:lang w:val="sw_KE" w:bidi="sw_KE"/>
          </w:rPr>
          <w:rPr>
            <w:color w:val="0000EE"/>
            <w:u w:val="single"/>
          </w:rPr>
          <w:t>1:1–10:10</w:t>
        </w:r>
      </w:hyperlink>
      <w:r>
        <w:rPr>
          <w:lang w:val="sw_KE" w:bidi="sw_KE"/>
        </w:rPr>
        <w:t>), (2) safari ya miaka thelathini na tisa kutoka Sinai hadi tambarare za Moabu (</w:t>
      </w:r>
      <w:hyperlink r:id="rId14">
        <w:r>
          <w:rPr>
            <w:lang w:val="sw_KE" w:bidi="sw_KE"/>
          </w:rPr>
          <w:rPr>
            <w:color w:val="0000EE"/>
            <w:u w:val="single"/>
          </w:rPr>
          <w:t>10:11–22:1</w:t>
        </w:r>
      </w:hyperlink>
      <w:r>
        <w:rPr>
          <w:lang w:val="sw_KE" w:bidi="sw_KE"/>
        </w:rPr>
        <w:t>), na (3) miezi ya mwisho ya kambi ya Israeli kwenye tambarare za Moabu muda mfupi kabla ya kuingia Kanaani (</w:t>
      </w:r>
      <w:hyperlink r:id="rId15">
        <w:r>
          <w:rPr>
            <w:lang w:val="sw_KE" w:bidi="sw_KE"/>
          </w:rPr>
          <w:rPr>
            <w:color w:val="0000EE"/>
            <w:u w:val="single"/>
          </w:rPr>
          <w:t>21:1–36:13</w:t>
        </w:r>
      </w:hyperlink>
      <w:r>
        <w:rPr>
          <w:lang w:val="sw_KE" w:bidi="sw_KE"/>
        </w:rPr>
        <w:t>).</w:t>
      </w:r>
    </w:p>
    <w:p>
      <w:pPr/>
      <w:r>
        <w:rPr>
          <w:lang w:val="sw_KE" w:bidi="sw_KE"/>
        </w:rPr>
      </w:r>
      <w:r>
        <w:rPr>
          <w:lang w:val="sw_KE" w:bidi="sw_KE"/>
        </w:rPr>
        <w:t xml:space="preserve">Usajili mara mbili wa wanaume wa Israeli wa umri wa kijeshi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hyperlink r:id="rId18">
        <w:r>
          <w:rPr>
            <w:lang w:val="sw_KE" w:bidi="sw_KE"/>
          </w:rPr>
          <w:rPr>
            <w:color w:val="0000EE"/>
            <w:u w:val="single"/>
          </w:rPr>
          <w:t>11</w:t>
        </w:r>
      </w:hyperlink>
      <w:r>
        <w:rPr>
          <w:lang w:val="sw_KE" w:bidi="sw_KE"/>
        </w:rPr>
        <w:t xml:space="preserve">, </w:t>
      </w:r>
      <w:hyperlink r:id="rId19">
        <w:r>
          <w:rPr>
            <w:lang w:val="sw_KE" w:bidi="sw_KE"/>
          </w:rPr>
          <w:rPr>
            <w:color w:val="0000EE"/>
            <w:u w:val="single"/>
          </w:rPr>
          <w:t>12</w:t>
        </w:r>
      </w:hyperlink>
      <w:r>
        <w:rPr>
          <w:lang w:val="sw_KE" w:bidi="sw_KE"/>
        </w:rPr>
        <w:t xml:space="preserve">,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16–17</w:t>
        </w:r>
      </w:hyperlink>
      <w:r>
        <w:rPr>
          <w:lang w:val="sw_KE" w:bidi="sw_KE"/>
        </w:rPr>
        <w:t xml:space="preserve">, </w:t>
      </w:r>
      <w:hyperlink r:id="rId22">
        <w:r>
          <w:rPr>
            <w:lang w:val="sw_KE" w:bidi="sw_KE"/>
          </w:rPr>
          <w:rPr>
            <w:color w:val="0000EE"/>
            <w:u w:val="single"/>
          </w:rPr>
          <w:t>20</w:t>
        </w:r>
      </w:hyperlink>
      <w:r>
        <w:rPr>
          <w:lang w:val="sw_KE" w:bidi="sw_KE"/>
        </w:rPr>
        <w:t xml:space="preserve">, </w:t>
      </w:r>
      <w:hyperlink r:id="rId23">
        <w:r>
          <w:rPr>
            <w:lang w:val="sw_KE" w:bidi="sw_KE"/>
          </w:rPr>
          <w:rPr>
            <w:color w:val="0000EE"/>
            <w:u w:val="single"/>
          </w:rPr>
          <w:t>25</w:t>
        </w:r>
      </w:hyperlink>
      <w:r>
        <w:rPr>
          <w:lang w:val="sw_KE" w:bidi="sw_KE"/>
        </w:rPr>
        <w:t>). Wote walikufa jangwani isipokuwa Yoshua na Kalebu, ambao imani yao ilikuwa ya mfano (</w:t>
      </w:r>
      <w:hyperlink r:id="rId24">
        <w:r>
          <w:rPr>
            <w:lang w:val="sw_KE" w:bidi="sw_KE"/>
          </w:rPr>
          <w:rPr>
            <w:color w:val="0000EE"/>
            <w:u w:val="single"/>
          </w:rPr>
          <w:t>13:30</w:t>
        </w:r>
      </w:hyperlink>
      <w:r>
        <w:rPr>
          <w:lang w:val="sw_KE" w:bidi="sw_KE"/>
        </w:rPr>
        <w:t xml:space="preserve">; </w:t>
      </w:r>
      <w:hyperlink r:id="rId25">
        <w:r>
          <w:rPr>
            <w:lang w:val="sw_KE" w:bidi="sw_KE"/>
          </w:rPr>
          <w:rPr>
            <w:color w:val="0000EE"/>
            <w:u w:val="single"/>
          </w:rPr>
          <w:t>14:6–9</w:t>
        </w:r>
      </w:hyperlink>
      <w:r>
        <w:rPr>
          <w:lang w:val="sw_KE" w:bidi="sw_KE"/>
        </w:rPr>
        <w:t>).</w:t>
      </w:r>
    </w:p>
    <w:p>
      <w:pPr/>
      <w:r>
        <w:rPr>
          <w:lang w:val="sw_KE" w:bidi="sw_KE"/>
        </w:rPr>
      </w:r>
      <w:r>
        <w:rPr>
          <w:lang w:val="sw_KE" w:bidi="sw_KE"/>
        </w:rPr>
        <w:t xml:space="preserve">Jeshi la Israeli lilijaribiwa mara kadhaa kabla ya kuingia Kanaani (sura </w:t>
      </w:r>
      <w:hyperlink r:id="rId20">
        <w:r>
          <w:rPr>
            <w:lang w:val="sw_KE" w:bidi="sw_KE"/>
          </w:rPr>
          <w:rPr>
            <w:color w:val="0000EE"/>
            <w:u w:val="single"/>
          </w:rPr>
          <w:t>14</w:t>
        </w:r>
      </w:hyperlink>
      <w:r>
        <w:rPr>
          <w:lang w:val="sw_KE" w:bidi="sw_KE"/>
        </w:rPr>
        <w:t xml:space="preserve">, </w:t>
      </w:r>
      <w:hyperlink r:id="rId26">
        <w:r>
          <w:rPr>
            <w:lang w:val="sw_KE" w:bidi="sw_KE"/>
          </w:rPr>
          <w:rPr>
            <w:color w:val="0000EE"/>
            <w:u w:val="single"/>
          </w:rPr>
          <w:t>21</w:t>
        </w:r>
      </w:hyperlink>
      <w:r>
        <w:rPr>
          <w:lang w:val="sw_KE" w:bidi="sw_KE"/>
        </w:rPr>
        <w:t xml:space="preserve">, </w:t>
      </w:r>
      <w:hyperlink r:id="rId27">
        <w:r>
          <w:rPr>
            <w:lang w:val="sw_KE" w:bidi="sw_KE"/>
          </w:rPr>
          <w:rPr>
            <w:color w:val="0000EE"/>
            <w:u w:val="single"/>
          </w:rPr>
          <w:t>31</w:t>
        </w:r>
      </w:hyperlink>
      <w:r>
        <w:rPr>
          <w:lang w:val="sw_KE" w:bidi="sw_KE"/>
        </w:rPr>
        <w:t xml:space="preserve">), na hadithi ya Balaamu inasimuliwa (sura </w:t>
      </w:r>
      <w:hyperlink r:id="rId28">
        <w:r>
          <w:rPr>
            <w:lang w:val="sw_KE" w:bidi="sw_KE"/>
          </w:rPr>
          <w:rPr>
            <w:color w:val="0000EE"/>
            <w:u w:val="single"/>
          </w:rPr>
          <w:t>22–24</w:t>
        </w:r>
      </w:hyperlink>
      <w:r>
        <w:rPr>
          <w:lang w:val="sw_KE" w:bidi="sw_KE"/>
        </w:rPr>
        <w:t xml:space="preserve">). Mipango ilifanywa kwa ajili ya kuishi N'gambo ya Mto Yordani (sura </w:t>
      </w:r>
      <w:hyperlink r:id="rId29">
        <w:r>
          <w:rPr>
            <w:lang w:val="sw_KE" w:bidi="sw_KE"/>
          </w:rPr>
          <w:rPr>
            <w:color w:val="0000EE"/>
            <w:u w:val="single"/>
          </w:rPr>
          <w:t>32</w:t>
        </w:r>
      </w:hyperlink>
      <w:r>
        <w:rPr>
          <w:lang w:val="sw_KE" w:bidi="sw_KE"/>
        </w:rPr>
        <w:t xml:space="preserve">), safari ya jangwani ilikaguliwa (sura </w:t>
      </w:r>
      <w:hyperlink r:id="rId30">
        <w:r>
          <w:rPr>
            <w:lang w:val="sw_KE" w:bidi="sw_KE"/>
          </w:rPr>
          <w:rPr>
            <w:color w:val="0000EE"/>
            <w:u w:val="single"/>
          </w:rPr>
          <w:t>33</w:t>
        </w:r>
      </w:hyperlink>
      <w:r>
        <w:rPr>
          <w:lang w:val="sw_KE" w:bidi="sw_KE"/>
        </w:rPr>
        <w:t xml:space="preserve">), na Musa alitarajia waisrseli kuishi Kanaani (sura </w:t>
      </w:r>
      <w:hyperlink r:id="rId31">
        <w:r>
          <w:rPr>
            <w:lang w:val="sw_KE" w:bidi="sw_KE"/>
          </w:rPr>
          <w:rPr>
            <w:color w:val="0000EE"/>
            <w:u w:val="single"/>
          </w:rPr>
          <w:t>34–36</w:t>
        </w:r>
      </w:hyperlink>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2">
        <w:r>
          <w:rPr>
            <w:lang w:val="sw_KE" w:bidi="sw_KE"/>
          </w:rPr>
          <w:rPr>
            <w:color w:val="0000EE"/>
            <w:u w:val="single"/>
          </w:rPr>
          <w:t>Hes 33:1–2</w:t>
        </w:r>
      </w:hyperlink>
      <w:r>
        <w:rPr>
          <w:lang w:val="sw_KE" w:bidi="sw_KE"/>
        </w:rPr>
        <w:t>). Hakuna haja ya kumtenga Mose kama mwandishi mkuu—kwa msingi wa maudhui au kiwango cha usomaji kinachowezekana wakati wa Kutoka na ushindi—isipokuwa katika vifungu kama vile simulizi ya kifo chake (</w:t>
      </w:r>
      <w:hyperlink r:id="rId33">
        <w:r>
          <w:rPr>
            <w:lang w:val="sw_KE" w:bidi="sw_KE"/>
          </w:rPr>
          <w:rPr>
            <w:color w:val="0000EE"/>
            <w:u w:val="single"/>
          </w:rPr>
          <w:t>Kumb 34</w:t>
        </w:r>
      </w:hyperlink>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4">
        <w:r>
          <w:rPr>
            <w:lang w:val="sw_KE" w:bidi="sw_KE"/>
          </w:rPr>
          <w:rPr>
            <w:color w:val="0000EE"/>
            <w:u w:val="single"/>
          </w:rPr>
          <w:t>Hes 1:1</w:t>
        </w:r>
      </w:hyperlink>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hyperlink r:id="rId35">
        <w:r>
          <w:rPr>
            <w:lang w:val="sw_KE" w:bidi="sw_KE"/>
          </w:rPr>
          <w:rPr>
            <w:color w:val="0000EE"/>
            <w:u w:val="single"/>
          </w:rPr>
          <w:t>10:11–14:45</w:t>
        </w:r>
      </w:hyperlink>
      <w:r>
        <w:rPr>
          <w:lang w:val="sw_KE" w:bidi="sw_KE"/>
        </w:rPr>
        <w:t xml:space="preserve">), mashairi (km., sura </w:t>
      </w:r>
      <w:hyperlink r:id="rId36">
        <w:r>
          <w:rPr>
            <w:lang w:val="sw_KE" w:bidi="sw_KE"/>
          </w:rPr>
          <w:rPr>
            <w:color w:val="0000EE"/>
            <w:u w:val="single"/>
          </w:rPr>
          <w:t>23–24</w:t>
        </w:r>
      </w:hyperlink>
      <w:r>
        <w:rPr>
          <w:lang w:val="sw_KE" w:bidi="sw_KE"/>
        </w:rPr>
        <w:t xml:space="preserve">), na sheria (km., sura </w:t>
      </w:r>
      <w:hyperlink r:id="rId37">
        <w:r>
          <w:rPr>
            <w:lang w:val="sw_KE" w:bidi="sw_KE"/>
          </w:rPr>
          <w:rPr>
            <w:color w:val="0000EE"/>
            <w:u w:val="single"/>
          </w:rPr>
          <w:t>4–6</w:t>
        </w:r>
      </w:hyperlink>
      <w:r>
        <w:rPr>
          <w:lang w:val="sw_KE" w:bidi="sw_KE"/>
        </w:rPr>
        <w:t xml:space="preserve">). Pia kina orodha za kina za ukweli na takwimu, kama vile hesabu za usajili (km., sura </w:t>
      </w:r>
      <w:hyperlink r:id="rId16">
        <w:r>
          <w:rPr>
            <w:lang w:val="sw_KE" w:bidi="sw_KE"/>
          </w:rPr>
          <w:rPr>
            <w:color w:val="0000EE"/>
            <w:u w:val="single"/>
          </w:rPr>
          <w:t>1–4</w:t>
        </w:r>
      </w:hyperlink>
      <w:r>
        <w:rPr>
          <w:lang w:val="sw_KE" w:bidi="sw_KE"/>
        </w:rPr>
        <w:t xml:space="preserve">), sadaka (km., sura </w:t>
      </w:r>
      <w:hyperlink r:id="rId38">
        <w:r>
          <w:rPr>
            <w:lang w:val="sw_KE" w:bidi="sw_KE"/>
          </w:rPr>
          <w:rPr>
            <w:color w:val="0000EE"/>
            <w:u w:val="single"/>
          </w:rPr>
          <w:t>7</w:t>
        </w:r>
      </w:hyperlink>
      <w:r>
        <w:rPr>
          <w:lang w:val="sw_KE" w:bidi="sw_KE"/>
        </w:rPr>
        <w:t xml:space="preserve">), na ratiba za safari (km., sura </w:t>
      </w:r>
      <w:hyperlink r:id="rId30">
        <w:r>
          <w:rPr>
            <w:lang w:val="sw_KE" w:bidi="sw_KE"/>
          </w:rPr>
          <w:rPr>
            <w:color w:val="0000EE"/>
            <w:u w:val="single"/>
          </w:rPr>
          <w:t>33</w:t>
        </w:r>
      </w:hyperlink>
      <w:r>
        <w:rPr>
          <w:lang w:val="sw_KE" w:bidi="sw_KE"/>
        </w:rPr>
        <w:t xml:space="preserve">). NLT inakusanya orodha mbalimbali za nathari katika jedwali fupi la majina na nambari (sura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13</w:t>
        </w:r>
      </w:hyperlink>
      <w:r>
        <w:rPr>
          <w:lang w:val="sw_KE" w:bidi="sw_KE"/>
        </w:rPr>
        <w:t xml:space="preserve">, </w:t>
      </w:r>
      <w:hyperlink r:id="rId41">
        <w:r>
          <w:rPr>
            <w:lang w:val="sw_KE" w:bidi="sw_KE"/>
          </w:rPr>
          <w:rPr>
            <w:color w:val="0000EE"/>
            <w:u w:val="single"/>
          </w:rPr>
          <w:t>34</w:t>
        </w:r>
      </w:hyperlink>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hyperlink r:id="rId42">
        <w:r>
          <w:rPr>
            <w:lang w:val="sw_KE" w:bidi="sw_KE"/>
          </w:rPr>
          <w:rPr>
            <w:color w:val="0000EE"/>
            <w:u w:val="single"/>
          </w:rPr>
          <w:t>21:14–15</w:t>
        </w:r>
      </w:hyperlink>
      <w:r>
        <w:rPr>
          <w:lang w:val="sw_KE" w:bidi="sw_KE"/>
        </w:rPr>
        <w:t>), "Wimbo wa Kisima" (</w:t>
      </w:r>
      <w:hyperlink r:id="rId43">
        <w:r>
          <w:rPr>
            <w:lang w:val="sw_KE" w:bidi="sw_KE"/>
          </w:rPr>
          <w:rPr>
            <w:color w:val="0000EE"/>
            <w:u w:val="single"/>
          </w:rPr>
          <w:t>21:17–18</w:t>
        </w:r>
      </w:hyperlink>
      <w:r>
        <w:rPr>
          <w:lang w:val="sw_KE" w:bidi="sw_KE"/>
        </w:rPr>
        <w:t>), na "Wimbo wa Heshboni" (</w:t>
      </w:r>
      <w:hyperlink r:id="rId44">
        <w:r>
          <w:rPr>
            <w:lang w:val="sw_KE" w:bidi="sw_KE"/>
          </w:rPr>
          <w:rPr>
            <w:color w:val="0000EE"/>
            <w:u w:val="single"/>
          </w:rPr>
          <w:t>21:27–30</w:t>
        </w:r>
      </w:hyperlink>
      <w:r>
        <w:rPr>
          <w:lang w:val="sw_KE" w:bidi="sw_KE"/>
        </w:rPr>
        <w:t xml:space="preserve">). Sura za </w:t>
      </w:r>
      <w:hyperlink r:id="rId36">
        <w:r>
          <w:rPr>
            <w:lang w:val="sw_KE" w:bidi="sw_KE"/>
          </w:rPr>
          <w:rPr>
            <w:color w:val="0000EE"/>
            <w:u w:val="single"/>
          </w:rPr>
          <w:t>23–24</w:t>
        </w:r>
      </w:hyperlink>
      <w:r>
        <w:rPr>
          <w:lang w:val="sw_KE" w:bidi="sw_KE"/>
        </w:rPr>
        <w:t xml:space="preserve"> zina mistari mingi ya kishairi kutoka kwa nabii asiye Mwisraeli Balaamu; </w:t>
      </w:r>
      <w:hyperlink r:id="rId45">
        <w:r>
          <w:rPr>
            <w:lang w:val="sw_KE" w:bidi="sw_KE"/>
          </w:rPr>
          <w:rPr>
            <w:color w:val="0000EE"/>
            <w:u w:val="single"/>
          </w:rPr>
          <w:t>31:32–47</w:t>
        </w:r>
      </w:hyperlink>
      <w:r>
        <w:rPr>
          <w:lang w:val="sw_KE" w:bidi="sw_KE"/>
        </w:rPr>
        <w:t xml:space="preserve"> inaonekana kutegemea rekodi halisi ya nyara za vita; na sura ya </w:t>
      </w:r>
      <w:hyperlink r:id="rId30">
        <w:r>
          <w:rPr>
            <w:lang w:val="sw_KE" w:bidi="sw_KE"/>
          </w:rPr>
          <w:rPr>
            <w:color w:val="0000EE"/>
            <w:u w:val="single"/>
          </w:rPr>
          <w:t>33</w:t>
        </w:r>
      </w:hyperlink>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hyperlink r:id="rId46">
        <w:r>
          <w:rPr>
            <w:lang w:val="sw_KE" w:bidi="sw_KE"/>
          </w:rPr>
          <w:rPr>
            <w:color w:val="0000EE"/>
            <w:u w:val="single"/>
          </w:rPr>
          <w:t>21–24</w:t>
        </w:r>
      </w:hyperlink>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hyperlink r:id="rId47">
        <w:r>
          <w:rPr>
            <w:lang w:val="sw_KE" w:bidi="sw_KE"/>
          </w:rPr>
          <w:rPr>
            <w:color w:val="0000EE"/>
            <w:u w:val="single"/>
          </w:rPr>
          <w:t>1 Wakorintho 10:1–11</w:t>
        </w:r>
      </w:hyperlink>
      <w:r>
        <w:rPr>
          <w:lang w:val="sw_KE" w:bidi="sw_KE"/>
        </w:rPr>
        <w:t>, mtume Paulo anawaonya wasomaji wake kuepuka ibada ya sanamu, uasherati, na kunung'unika ili wasiangamie kama Waisraeli jangwani. Mungu hafurahishwi na tabia kama hiyo, na wafuasi wa Kristo hawapaswi kumjaribu Mungu (</w:t>
      </w:r>
      <w:hyperlink r:id="rId48">
        <w:r>
          <w:rPr>
            <w:lang w:val="sw_KE" w:bidi="sw_KE"/>
          </w:rPr>
          <w:rPr>
            <w:color w:val="0000EE"/>
            <w:u w:val="single"/>
          </w:rPr>
          <w:t>1 Kor 10:9</w:t>
        </w:r>
      </w:hyperlink>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hyperlink r:id="rId49">
        <w:r>
          <w:rPr>
            <w:lang w:val="sw_KE" w:bidi="sw_KE"/>
          </w:rPr>
          <w:rPr>
            <w:color w:val="0000EE"/>
            <w:u w:val="single"/>
          </w:rPr>
          <w:t>Ebr 3:7–4:11</w:t>
        </w:r>
      </w:hyperlink>
      <w:r>
        <w:rPr>
          <w:lang w:val="sw_KE" w:bidi="sw_KE"/>
        </w:rPr>
        <w:t xml:space="preserve">). Mistari hii, ambayo inategemea sana lugha ya </w:t>
      </w:r>
      <w:hyperlink r:id="rId50">
        <w:r>
          <w:rPr>
            <w:lang w:val="sw_KE" w:bidi="sw_KE"/>
          </w:rPr>
          <w:rPr>
            <w:color w:val="0000EE"/>
            <w:u w:val="single"/>
          </w:rPr>
          <w:t>Zaburi 95</w:t>
        </w:r>
      </w:hyperlink>
      <w:r>
        <w:rPr>
          <w:lang w:val="sw_KE" w:bidi="sw_KE"/>
        </w:rPr>
        <w:t>, imejaa maneno yanayoakisi hukumu ya Mungu juu ya dhambi ya Israeli.</w:t>
      </w:r>
    </w:p>
    <w:p>
      <w:pPr>
        <w:pStyle w:val="ListBullet"/>
        <w:spacing w:line="240" w:lineRule="auto"/>
        <w:ind w:left="720"/>
      </w:pPr>
      <w:r>
        <w:rPr>
          <w:lang w:val="sw_KE" w:bidi="sw_KE"/>
        </w:rPr>
      </w:r>
      <w:hyperlink r:id="rId51">
        <w:r>
          <w:rPr>
            <w:lang w:val="sw_KE" w:bidi="sw_KE"/>
          </w:rPr>
          <w:rPr>
            <w:color w:val="0000EE"/>
            <w:u w:val="single"/>
          </w:rPr>
          <w:t>Yuda 1:5</w:t>
        </w:r>
      </w:hyperlink>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