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2 Samuel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w:t>
      </w:r>
      <w:r>
        <w:rPr>
          <w:lang w:val="ar_AE" w:bidi="ar_AE"/>
        </w:rPr>
      </w:r>
    </w:p>
    <w:p>
      <w:pPr>
        <w:bidi/>
      </w:pPr>
      <w:r>
        <w:rPr>
          <w:lang w:val="ar_AE" w:bidi="ar_AE"/>
        </w:rPr>
      </w:r>
      <w:r>
        <w:rPr>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lang w:val="ar_AE" w:bidi="ar_AE"/>
        </w:rPr>
        <w:t>الإطار الأدبي</w:t>
      </w:r>
    </w:p>
    <w:p>
      <w:pPr>
        <w:bidi/>
      </w:pPr>
      <w:r>
        <w:rPr>
          <w:lang w:val="ar_AE" w:bidi="ar_AE"/>
        </w:rPr>
      </w:r>
      <w:r>
        <w:rPr>
          <w:lang w:val="ar_AE" w:bidi="ar_AE"/>
        </w:rPr>
        <w:t>في أثناء حُكم شاول، مسح صموئيل داود الملك التالي على إسرائيل (</w:t>
      </w:r>
      <w:r>
        <w:rPr>
          <w:lang w:val="ar_AE" w:bidi="ar_AE"/>
        </w:rPr>
        <w:t>1 صموئيل 16: 1–13</w:t>
      </w:r>
      <w:r>
        <w:rPr>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lang w:val="ar_AE" w:bidi="ar_AE"/>
        </w:rPr>
      </w:r>
      <w:r>
        <w:rPr>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lang w:val="ar_AE" w:bidi="ar_AE"/>
        </w:rPr>
      </w:r>
      <w:r>
        <w:rPr>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lang w:val="ar_AE" w:bidi="ar_AE"/>
        </w:rPr>
        <w:t>2 صموئيل 5: 17–25</w:t>
      </w:r>
      <w:r>
        <w:rPr>
          <w:lang w:val="ar_AE" w:bidi="ar_AE"/>
        </w:rPr>
        <w:t xml:space="preserve">؛ </w:t>
      </w:r>
      <w:r>
        <w:rPr>
          <w:lang w:val="ar_AE" w:bidi="ar_AE"/>
        </w:rPr>
        <w:t>21: 15–22</w:t>
      </w:r>
      <w:r>
        <w:rPr>
          <w:lang w:val="ar_AE" w:bidi="ar_AE"/>
        </w:rPr>
        <w:t xml:space="preserve">؛ </w:t>
      </w:r>
      <w:r>
        <w:rPr>
          <w:lang w:val="ar_AE" w:bidi="ar_AE"/>
        </w:rPr>
        <w:t>23: 9–17</w:t>
      </w:r>
      <w:r>
        <w:rPr>
          <w:lang w:val="ar_AE" w:bidi="ar_AE"/>
        </w:rPr>
        <w:t>). وقد جلب عهد داود السلام والاستقرار لحدود إسرائيل وتخومها.</w:t>
      </w:r>
    </w:p>
    <w:p>
      <w:pPr>
        <w:pStyle w:val="Heading2"/>
        <w:bidi/>
      </w:pPr>
      <w:r>
        <w:rPr>
          <w:lang w:val="ar_AE" w:bidi="ar_AE"/>
        </w:rPr>
        <w:t>المُلخص</w:t>
      </w:r>
    </w:p>
    <w:p>
      <w:pPr>
        <w:bidi/>
      </w:pPr>
      <w:r>
        <w:rPr>
          <w:lang w:val="ar_AE" w:bidi="ar_AE"/>
        </w:rPr>
      </w:r>
      <w:r>
        <w:rPr>
          <w:lang w:val="ar_AE" w:bidi="ar_AE"/>
        </w:rPr>
        <w:t>لمدة سبع سنوات ونصف بعد موت شاول ويوناثان (</w:t>
      </w:r>
      <w:r>
        <w:rPr>
          <w:lang w:val="ar_AE" w:bidi="ar_AE"/>
        </w:rPr>
        <w:t>1: 1–27</w:t>
      </w:r>
      <w:r>
        <w:rPr>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lang w:val="ar_AE" w:bidi="ar_AE"/>
        </w:rPr>
        <w:t>3: 22–4: 12</w:t>
      </w:r>
      <w:r>
        <w:rPr>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lang w:val="ar_AE" w:bidi="ar_AE"/>
        </w:rPr>
        <w:t>5: 6–16</w:t>
      </w:r>
      <w:r>
        <w:rPr>
          <w:lang w:val="ar_AE" w:bidi="ar_AE"/>
        </w:rPr>
        <w:t>).</w:t>
      </w:r>
    </w:p>
    <w:p>
      <w:pPr>
        <w:bidi/>
      </w:pPr>
      <w:r>
        <w:rPr>
          <w:lang w:val="ar_AE" w:bidi="ar_AE"/>
        </w:rPr>
      </w:r>
      <w:r>
        <w:rPr>
          <w:lang w:val="ar_AE" w:bidi="ar_AE"/>
        </w:rPr>
        <w:t>أورشليم التي كانت أهم من عاصمة سياسيَّة لداود. إذ بجلب داود تابوت العهد إلى أورشليم، جعلها إلى عاصمة روحيَّة لإسرائيل أيضًا (</w:t>
      </w:r>
      <w:r>
        <w:rPr>
          <w:lang w:val="ar_AE" w:bidi="ar_AE"/>
        </w:rPr>
        <w:t>6: 1–15</w:t>
      </w:r>
      <w:r>
        <w:rPr>
          <w:lang w:val="ar_AE" w:bidi="ar_AE"/>
        </w:rPr>
        <w:t>). وبعد وقت ليس بالطويل، قطعَ الله عهدًا أبديًا مع داود ونسله (</w:t>
      </w:r>
      <w:r>
        <w:rPr>
          <w:lang w:val="ar_AE" w:bidi="ar_AE"/>
        </w:rPr>
        <w:t>7: 1–29</w:t>
      </w:r>
      <w:r>
        <w:rPr>
          <w:lang w:val="ar_AE" w:bidi="ar_AE"/>
        </w:rPr>
        <w:t>). إبان هذه السنوات المبكرة، عاش داود النجاح في كل جانب من حياته (</w:t>
      </w:r>
      <w:r>
        <w:rPr>
          <w:lang w:val="ar_AE" w:bidi="ar_AE"/>
        </w:rPr>
        <w:t>8: 1–18</w:t>
      </w:r>
      <w:r>
        <w:rPr>
          <w:lang w:val="ar_AE" w:bidi="ar_AE"/>
        </w:rPr>
        <w:t xml:space="preserve">؛ </w:t>
      </w:r>
      <w:r>
        <w:rPr>
          <w:lang w:val="ar_AE" w:bidi="ar_AE"/>
        </w:rPr>
        <w:t>10: 1–19</w:t>
      </w:r>
      <w:r>
        <w:rPr>
          <w:lang w:val="ar_AE" w:bidi="ar_AE"/>
        </w:rPr>
        <w:t>) وأكمل نذره بأن أكرمَ معاملة نسل شاول ويوناثان (</w:t>
      </w:r>
      <w:r>
        <w:rPr>
          <w:lang w:val="ar_AE" w:bidi="ar_AE"/>
        </w:rPr>
        <w:t>9: 1–13</w:t>
      </w:r>
      <w:r>
        <w:rPr>
          <w:lang w:val="ar_AE" w:bidi="ar_AE"/>
        </w:rPr>
        <w:t>).</w:t>
      </w:r>
    </w:p>
    <w:p>
      <w:pPr>
        <w:bidi/>
      </w:pPr>
      <w:r>
        <w:rPr>
          <w:lang w:val="ar_AE" w:bidi="ar_AE"/>
        </w:rPr>
      </w:r>
      <w:r>
        <w:rPr>
          <w:lang w:val="ar_AE" w:bidi="ar_AE"/>
        </w:rPr>
        <w:t>ثم وقع داود في أبشع خطأ في حياته إذ أحضر، بُثشبع زوجة رجل آخر، إلى بيته (</w:t>
      </w:r>
      <w:r>
        <w:rPr>
          <w:lang w:val="ar_AE" w:bidi="ar_AE"/>
        </w:rPr>
        <w:t>11: 1–5</w:t>
      </w:r>
      <w:r>
        <w:rPr>
          <w:lang w:val="ar_AE" w:bidi="ar_AE"/>
        </w:rPr>
        <w:t>). فحبلت، وتآمر داود لقتل زوجها (</w:t>
      </w:r>
      <w:r>
        <w:rPr>
          <w:lang w:val="ar_AE" w:bidi="ar_AE"/>
        </w:rPr>
        <w:t>11: 6–27</w:t>
      </w:r>
      <w:r>
        <w:rPr>
          <w:lang w:val="ar_AE" w:bidi="ar_AE"/>
        </w:rPr>
        <w:t>). غضب الله على أفعال داود فأدبه (</w:t>
      </w:r>
      <w:r>
        <w:rPr>
          <w:lang w:val="ar_AE" w:bidi="ar_AE"/>
        </w:rPr>
        <w:t>12: 1–12</w:t>
      </w:r>
      <w:r>
        <w:rPr>
          <w:lang w:val="ar_AE" w:bidi="ar_AE"/>
        </w:rPr>
        <w:t>). ومع أن داود قدم توبة ونال غفران الله، فمات الطفل الذي حُبِلَ به من هذا الإثم (</w:t>
      </w:r>
      <w:r>
        <w:rPr>
          <w:lang w:val="ar_AE" w:bidi="ar_AE"/>
        </w:rPr>
        <w:t>12: 13–23</w:t>
      </w:r>
      <w:r>
        <w:rPr>
          <w:lang w:val="ar_AE" w:bidi="ar_AE"/>
        </w:rPr>
        <w:t>). ومع ذلك، ظل داود الملك المختار من الله (</w:t>
      </w:r>
      <w:r>
        <w:rPr>
          <w:lang w:val="ar_AE" w:bidi="ar_AE"/>
        </w:rPr>
        <w:t>12: 24–31</w:t>
      </w:r>
      <w:r>
        <w:rPr>
          <w:lang w:val="ar_AE" w:bidi="ar_AE"/>
        </w:rPr>
        <w:t>).</w:t>
      </w:r>
    </w:p>
    <w:p>
      <w:pPr>
        <w:bidi/>
      </w:pPr>
      <w:r>
        <w:rPr>
          <w:lang w:val="ar_AE" w:bidi="ar_AE"/>
        </w:rPr>
      </w:r>
      <w:r>
        <w:rPr>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lang w:val="ar_AE" w:bidi="ar_AE"/>
        </w:rPr>
        <w:t>13: 1–39</w:t>
      </w:r>
      <w:r>
        <w:rPr>
          <w:lang w:val="ar_AE" w:bidi="ar_AE"/>
        </w:rPr>
        <w:t>). وبعد ذلك، حاول أبشالوم اغتصاب كرسي داود ليحل محله ملكًا، لكنه قُتل في الانقلاب (</w:t>
      </w:r>
      <w:r>
        <w:rPr>
          <w:lang w:val="ar_AE" w:bidi="ar_AE"/>
        </w:rPr>
        <w:t>14: 1–19: 43</w:t>
      </w:r>
      <w:r>
        <w:rPr>
          <w:lang w:val="ar_AE" w:bidi="ar_AE"/>
        </w:rPr>
        <w:t>). وقاد رجل بنياميني يدعى شَبَعُ تمردًا على داود لكنه انهزم وأُعدم (</w:t>
      </w:r>
      <w:r>
        <w:rPr>
          <w:lang w:val="ar_AE" w:bidi="ar_AE"/>
        </w:rPr>
        <w:t>20: 1–26</w:t>
      </w:r>
      <w:r>
        <w:rPr>
          <w:lang w:val="ar_AE" w:bidi="ar_AE"/>
        </w:rPr>
        <w:t>).</w:t>
      </w:r>
    </w:p>
    <w:p>
      <w:pPr>
        <w:bidi/>
      </w:pPr>
      <w:r>
        <w:rPr>
          <w:lang w:val="ar_AE" w:bidi="ar_AE"/>
        </w:rPr>
      </w:r>
      <w:r>
        <w:rPr>
          <w:lang w:val="ar_AE" w:bidi="ar_AE"/>
        </w:rPr>
        <w:t>وفي مناسبتين، عمل داود الملك على تهدئة غضب الله على الشعب (</w:t>
      </w:r>
      <w:r>
        <w:rPr>
          <w:lang w:val="ar_AE" w:bidi="ar_AE"/>
        </w:rPr>
        <w:t>21: 1–22</w:t>
      </w:r>
      <w:r>
        <w:rPr>
          <w:lang w:val="ar_AE" w:bidi="ar_AE"/>
        </w:rPr>
        <w:t xml:space="preserve">؛ </w:t>
      </w:r>
      <w:r>
        <w:rPr>
          <w:lang w:val="ar_AE" w:bidi="ar_AE"/>
        </w:rPr>
        <w:t>24: 1–25</w:t>
      </w:r>
      <w:r>
        <w:rPr>
          <w:lang w:val="ar_AE" w:bidi="ar_AE"/>
        </w:rPr>
        <w:t>). وفي المناسبة الثانية، بنى داود مذبحًا في اورشليم (</w:t>
      </w:r>
      <w:r>
        <w:rPr>
          <w:lang w:val="ar_AE" w:bidi="ar_AE"/>
        </w:rPr>
        <w:t>24: 18–25</w:t>
      </w:r>
      <w:r>
        <w:rPr>
          <w:lang w:val="ar_AE" w:bidi="ar_AE"/>
        </w:rPr>
        <w:t>)، حيث صار لاحقًا موقع الهيكل (</w:t>
      </w:r>
      <w:r>
        <w:rPr>
          <w:lang w:val="ar_AE" w:bidi="ar_AE"/>
        </w:rPr>
        <w:t>1 أخبار الأيام 21: 18–22: 1</w:t>
      </w:r>
      <w:r>
        <w:rPr>
          <w:lang w:val="ar_AE" w:bidi="ar_AE"/>
        </w:rPr>
        <w:t>). يقع بين هاتين المناسبتين مقاطع تسبح بعمل الله العظيم من خلال داود وإظهار أمانة رجال حرب داود وبطولاتهم (</w:t>
      </w:r>
      <w:r>
        <w:rPr>
          <w:lang w:val="ar_AE" w:bidi="ar_AE"/>
        </w:rPr>
        <w:t>22: 1–23: 39</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على الأرجح أن كاتب السفر الأول لصموئيل هو عينه كان السفر الثاني لصموئيل (انظر </w:t>
      </w:r>
      <w:r>
        <w:rPr>
          <w:lang w:val="ar_AE" w:bidi="ar_AE"/>
        </w:rPr>
        <w:t>مقدمة السفر الأول لصموئيل</w:t>
      </w:r>
      <w:r>
        <w:rPr>
          <w:lang w:val="ar_AE" w:bidi="ar_AE"/>
        </w:rPr>
        <w:t>، "الكاتب/المؤلفانية").</w:t>
      </w:r>
    </w:p>
    <w:p>
      <w:pPr>
        <w:pStyle w:val="Heading2"/>
        <w:bidi/>
      </w:pPr>
      <w:r>
        <w:rPr>
          <w:lang w:val="ar_AE" w:bidi="ar_AE"/>
        </w:rPr>
        <w:t>معضلات تاريخية</w:t>
      </w:r>
    </w:p>
    <w:p>
      <w:pPr>
        <w:bidi/>
      </w:pPr>
      <w:r>
        <w:rPr>
          <w:lang w:val="ar_AE" w:bidi="ar_AE"/>
        </w:rPr>
      </w:r>
      <w:r>
        <w:rPr>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lang w:val="ar_AE" w:bidi="ar_AE"/>
        </w:rPr>
      </w:r>
      <w:r>
        <w:rPr>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lang w:val="ar_AE" w:bidi="ar_AE"/>
        </w:rPr>
        <w:t>1: 1–15</w:t>
      </w:r>
      <w:r>
        <w:rPr>
          <w:lang w:val="ar_AE" w:bidi="ar_AE"/>
        </w:rPr>
        <w:t xml:space="preserve">؛ أبنير، </w:t>
      </w:r>
      <w:r>
        <w:rPr>
          <w:lang w:val="ar_AE" w:bidi="ar_AE"/>
        </w:rPr>
        <w:t>3: 30</w:t>
      </w:r>
      <w:r>
        <w:rPr>
          <w:lang w:val="ar_AE" w:bidi="ar_AE"/>
        </w:rPr>
        <w:t xml:space="preserve">؛ إيشبوشث، </w:t>
      </w:r>
      <w:r>
        <w:rPr>
          <w:lang w:val="ar_AE" w:bidi="ar_AE"/>
        </w:rPr>
        <w:t>4: 6–8</w:t>
      </w:r>
      <w:r>
        <w:rPr>
          <w:lang w:val="ar_AE" w:bidi="ar_AE"/>
        </w:rPr>
        <w:t xml:space="preserve">؛ أبشالوم، </w:t>
      </w:r>
      <w:r>
        <w:rPr>
          <w:lang w:val="ar_AE" w:bidi="ar_AE"/>
        </w:rPr>
        <w:t>18: 14–15</w:t>
      </w:r>
      <w:r>
        <w:rPr>
          <w:lang w:val="ar_AE" w:bidi="ar_AE"/>
        </w:rPr>
        <w:t xml:space="preserve">؛ نسل شاول من الذكور، </w:t>
      </w:r>
      <w:r>
        <w:rPr>
          <w:lang w:val="ar_AE" w:bidi="ar_AE"/>
        </w:rPr>
        <w:t>21: 8–9</w:t>
      </w:r>
      <w:r>
        <w:rPr>
          <w:lang w:val="ar_AE" w:bidi="ar_AE"/>
        </w:rPr>
        <w:t xml:space="preserve">؛ عماسا، </w:t>
      </w:r>
      <w:r>
        <w:rPr>
          <w:lang w:val="ar_AE" w:bidi="ar_AE"/>
        </w:rPr>
        <w:t>20: 10</w:t>
      </w:r>
      <w:r>
        <w:rPr>
          <w:lang w:val="ar_AE" w:bidi="ar_AE"/>
        </w:rPr>
        <w:t xml:space="preserve">؛ شبع، </w:t>
      </w:r>
      <w:r>
        <w:rPr>
          <w:lang w:val="ar_AE" w:bidi="ar_AE"/>
        </w:rPr>
        <w:t>20: 21–22</w:t>
      </w:r>
      <w:r>
        <w:rPr>
          <w:lang w:val="ar_AE" w:bidi="ar_AE"/>
        </w:rPr>
        <w:t xml:space="preserve">). ومع ذلك، حرص الراوي على إظهار عدم مسؤولية داود عن المَقَاتِل. وعلى النقيض من مزاعم البعض (انظر </w:t>
      </w:r>
      <w:r>
        <w:rPr>
          <w:lang w:val="ar_AE" w:bidi="ar_AE"/>
        </w:rPr>
        <w:t>16: 5–8</w:t>
      </w:r>
      <w:r>
        <w:rPr>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lang w:val="ar_AE" w:bidi="ar_AE"/>
        </w:rPr>
      </w:r>
      <w:r>
        <w:rPr>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lang w:val="ar_AE" w:bidi="ar_AE"/>
        </w:rPr>
        <w:t>1: 1–16</w:t>
      </w:r>
      <w:r>
        <w:rPr>
          <w:lang w:val="ar_AE" w:bidi="ar_AE"/>
        </w:rPr>
        <w:t xml:space="preserve">؛ </w:t>
      </w:r>
      <w:r>
        <w:rPr>
          <w:lang w:val="ar_AE" w:bidi="ar_AE"/>
        </w:rPr>
        <w:t>4: 12</w:t>
      </w:r>
      <w:r>
        <w:rPr>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lang w:val="ar_AE" w:bidi="ar_AE"/>
        </w:rPr>
        <w:t>المعنى والرسالة</w:t>
      </w:r>
    </w:p>
    <w:p>
      <w:pPr>
        <w:bidi/>
      </w:pPr>
      <w:r>
        <w:rPr>
          <w:lang w:val="ar_AE" w:bidi="ar_AE"/>
        </w:rPr>
      </w:r>
      <w:r>
        <w:rPr>
          <w:lang w:val="ar_AE" w:bidi="ar_AE"/>
        </w:rPr>
        <w:t>يخبرنا السفر الثاني لصموئيل كيف أن الله جعل مسحه سرًا لداود ملكًا (</w:t>
      </w:r>
      <w:r>
        <w:rPr>
          <w:lang w:val="ar_AE" w:bidi="ar_AE"/>
        </w:rPr>
        <w:t>1 صموئيل 16: 1–13</w:t>
      </w:r>
      <w:r>
        <w:rPr>
          <w:lang w:val="ar_AE" w:bidi="ar_AE"/>
        </w:rPr>
        <w:t>) يبلغ أربه علنًا. فضلًا عن قطعه عهدًا مع داود ليثبت وعده تجاه بيت داود.</w:t>
      </w:r>
    </w:p>
    <w:p>
      <w:pPr>
        <w:bidi/>
      </w:pPr>
      <w:r>
        <w:rPr>
          <w:lang w:val="ar_AE" w:bidi="ar_AE"/>
        </w:rPr>
      </w:r>
      <w:r>
        <w:rPr>
          <w:lang w:val="ar_AE" w:bidi="ar_AE"/>
        </w:rPr>
        <w:t>إن عهد الله مع داود يحمل أوجه تشابه كبيرة مع عهده مع إبراهيم. فكلاهما يتضمنان وعودًا بشهرة عظيمة (</w:t>
      </w:r>
      <w:r>
        <w:rPr>
          <w:lang w:val="ar_AE" w:bidi="ar_AE"/>
        </w:rPr>
        <w:t>تكوين 12: 2</w:t>
      </w:r>
      <w:r>
        <w:rPr>
          <w:lang w:val="ar_AE" w:bidi="ar_AE"/>
        </w:rPr>
        <w:t xml:space="preserve">؛ </w:t>
      </w:r>
      <w:r>
        <w:rPr>
          <w:lang w:val="ar_AE" w:bidi="ar_AE"/>
        </w:rPr>
        <w:t>2 صموئيل 7: 9</w:t>
      </w:r>
      <w:r>
        <w:rPr>
          <w:lang w:val="ar_AE" w:bidi="ar_AE"/>
        </w:rPr>
        <w:t xml:space="preserve">) وبالراحة من أعدائهما (تكوين </w:t>
      </w:r>
      <w:r>
        <w:rPr>
          <w:lang w:val="ar_AE" w:bidi="ar_AE"/>
        </w:rPr>
        <w:t>15: 18–21</w:t>
      </w:r>
      <w:r>
        <w:rPr>
          <w:lang w:val="ar_AE" w:bidi="ar_AE"/>
        </w:rPr>
        <w:t xml:space="preserve">؛ </w:t>
      </w:r>
      <w:r>
        <w:rPr>
          <w:lang w:val="ar_AE" w:bidi="ar_AE"/>
        </w:rPr>
        <w:t>2 صموئيل 7: 10</w:t>
      </w:r>
      <w:r>
        <w:rPr>
          <w:lang w:val="ar_AE" w:bidi="ar_AE"/>
        </w:rPr>
        <w:t>). وكلاهما ثابتان إلى الأبد (</w:t>
      </w:r>
      <w:r>
        <w:rPr>
          <w:lang w:val="ar_AE" w:bidi="ar_AE"/>
        </w:rPr>
        <w:t>تكوين 13: 15</w:t>
      </w:r>
      <w:r>
        <w:rPr>
          <w:lang w:val="ar_AE" w:bidi="ar_AE"/>
        </w:rPr>
        <w:t xml:space="preserve">؛ </w:t>
      </w:r>
      <w:r>
        <w:rPr>
          <w:lang w:val="ar_AE" w:bidi="ar_AE"/>
        </w:rPr>
        <w:t>2 صموئيل 7: 16</w:t>
      </w:r>
      <w:r>
        <w:rPr>
          <w:lang w:val="ar_AE" w:bidi="ar_AE"/>
        </w:rPr>
        <w:t xml:space="preserve">)، ومعظم الأرض التي وعد الله بها لإبراهيم وأنساله (تكوين </w:t>
      </w:r>
      <w:r>
        <w:rPr>
          <w:lang w:val="ar_AE" w:bidi="ar_AE"/>
        </w:rPr>
        <w:t>15: 18</w:t>
      </w:r>
      <w:r>
        <w:rPr>
          <w:lang w:val="ar_AE" w:bidi="ar_AE"/>
        </w:rPr>
        <w:t>) نالوها بتوسيع داود لمملكته (</w:t>
      </w:r>
      <w:r>
        <w:rPr>
          <w:lang w:val="ar_AE" w:bidi="ar_AE"/>
        </w:rPr>
        <w:t>2 صموئيل 5: 17–25</w:t>
      </w:r>
      <w:r>
        <w:rPr>
          <w:lang w:val="ar_AE" w:bidi="ar_AE"/>
        </w:rPr>
        <w:t xml:space="preserve">؛ </w:t>
      </w:r>
      <w:r>
        <w:rPr>
          <w:lang w:val="ar_AE" w:bidi="ar_AE"/>
        </w:rPr>
        <w:t>8: 1–14</w:t>
      </w:r>
      <w:r>
        <w:rPr>
          <w:lang w:val="ar_AE" w:bidi="ar_AE"/>
        </w:rPr>
        <w:t xml:space="preserve">؛ </w:t>
      </w:r>
      <w:r>
        <w:rPr>
          <w:lang w:val="ar_AE" w:bidi="ar_AE"/>
        </w:rPr>
        <w:t>10: 1–9</w:t>
      </w:r>
      <w:r>
        <w:rPr>
          <w:lang w:val="ar_AE" w:bidi="ar_AE"/>
        </w:rPr>
        <w:t>).</w:t>
      </w:r>
    </w:p>
    <w:p>
      <w:pPr>
        <w:bidi/>
      </w:pPr>
      <w:r>
        <w:rPr>
          <w:lang w:val="ar_AE" w:bidi="ar_AE"/>
        </w:rPr>
      </w:r>
      <w:r>
        <w:rPr>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lang w:val="ar_AE" w:bidi="ar_AE"/>
        </w:rPr>
        <w:t>12: 1–20: 26</w:t>
      </w:r>
      <w:r>
        <w:rPr>
          <w:lang w:val="ar_AE" w:bidi="ar_AE"/>
        </w:rPr>
        <w:t xml:space="preserve">؛ </w:t>
      </w:r>
      <w:r>
        <w:rPr>
          <w:lang w:val="ar_AE" w:bidi="ar_AE"/>
        </w:rPr>
        <w:t>24: 1–25</w:t>
      </w:r>
      <w:r>
        <w:rPr>
          <w:lang w:val="ar_AE" w:bidi="ar_AE"/>
        </w:rPr>
        <w:t>). لكن الله ظل ثابتًا تجاه داود وبيته (</w:t>
      </w:r>
      <w:r>
        <w:rPr>
          <w:lang w:val="ar_AE" w:bidi="ar_AE"/>
        </w:rPr>
        <w:t>7: 14–16</w:t>
      </w:r>
      <w:r>
        <w:rPr>
          <w:lang w:val="ar_AE" w:bidi="ar_AE"/>
        </w:rPr>
        <w:t>). إن معاية الله لداود، وليس استحقاق داود، تفسر نجاحه.</w:t>
      </w:r>
    </w:p>
    <w:p>
      <w:pPr>
        <w:bidi/>
      </w:pPr>
      <w:r>
        <w:rPr>
          <w:lang w:val="ar_AE" w:bidi="ar_AE"/>
        </w:rPr>
      </w:r>
      <w:r>
        <w:rPr>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lang w:val="ar_AE" w:bidi="ar_AE"/>
        </w:rPr>
        <w:t>متى 1: 1</w:t>
      </w:r>
      <w:r>
        <w:rPr>
          <w:lang w:val="ar_AE" w:bidi="ar_AE"/>
        </w:rPr>
        <w:t xml:space="preserve">) وينتهي (رؤيا </w:t>
      </w:r>
      <w:r>
        <w:rPr>
          <w:lang w:val="ar_AE" w:bidi="ar_AE"/>
        </w:rPr>
        <w:t>22: 16</w:t>
      </w:r>
      <w:r>
        <w:rPr>
          <w:lang w:val="ar_AE" w:bidi="ar_AE"/>
        </w:rPr>
        <w:t>) بمحورية الرب يسوع الملك الأبدي الذي من نسل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