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رسالة فيلبي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فيلبي</w:t>
      </w:r>
      <w:r>
        <w:rPr>
          <w:lang w:val="ar_AE" w:bidi="ar_AE"/>
        </w:rPr>
      </w:r>
    </w:p>
    <w:p>
      <w:pPr>
        <w:bidi/>
      </w:pPr>
      <w:r>
        <w:rPr>
          <w:lang w:val="ar_AE" w:bidi="ar_AE"/>
        </w:rPr>
      </w:r>
      <w:r>
        <w:rPr>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lang w:val="ar_AE" w:bidi="ar_AE"/>
        </w:rPr>
        <w:t>أحداث وخلفية الرسالة</w:t>
      </w:r>
    </w:p>
    <w:p>
      <w:pPr>
        <w:bidi/>
      </w:pPr>
      <w:r>
        <w:rPr>
          <w:lang w:val="ar_AE" w:bidi="ar_AE"/>
        </w:rPr>
      </w:r>
      <w:r>
        <w:rPr>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lang w:val="ar_AE" w:bidi="ar_AE"/>
        </w:rPr>
      </w:r>
      <w:r>
        <w:rPr>
          <w:lang w:val="ar_AE" w:bidi="ar_AE"/>
        </w:rPr>
        <w:t xml:space="preserve">سمع أهل فيلبي الخبر السار عن المسيح من بولس خلال رحلته التبشيرية الثانية (عام 50 ميلادية تقريبًا؛ انظر </w:t>
      </w:r>
      <w:hyperlink r:id="rId13">
        <w:r>
          <w:rPr>
            <w:lang w:val="ar_AE" w:bidi="ar_AE"/>
          </w:rPr>
          <w:rPr>
            <w:color w:val="0000EE"/>
            <w:u w:val="single"/>
          </w:rPr>
          <w:t>أعمال الرسل 16:11–40</w:t>
        </w:r>
      </w:hyperlink>
      <w:r>
        <w:rPr>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4">
        <w:r>
          <w:rPr>
            <w:lang w:val="ar_AE" w:bidi="ar_AE"/>
          </w:rPr>
          <w:rPr>
            <w:color w:val="0000EE"/>
            <w:u w:val="single"/>
          </w:rPr>
          <w:t>أعمال الرسل 16:35–40</w:t>
        </w:r>
      </w:hyperlink>
      <w:r>
        <w:rPr>
          <w:lang w:val="ar_AE" w:bidi="ar_AE"/>
        </w:rPr>
        <w:t>).</w:t>
      </w:r>
    </w:p>
    <w:p>
      <w:pPr>
        <w:bidi/>
      </w:pPr>
      <w:r>
        <w:rPr>
          <w:lang w:val="ar_AE" w:bidi="ar_AE"/>
        </w:rPr>
      </w:r>
      <w:r>
        <w:rPr>
          <w:lang w:val="ar_AE" w:bidi="ar_AE"/>
        </w:rPr>
        <w:t xml:space="preserve">بعد ست سنوات تقريبًا (56~57 ميلادية)، في رحلته التبشيرية الثالثة، زار بولس فيلبّي مرة أخرى (انظر </w:t>
      </w:r>
      <w:hyperlink r:id="rId15">
        <w:r>
          <w:rPr>
            <w:lang w:val="ar_AE" w:bidi="ar_AE"/>
          </w:rPr>
          <w:rPr>
            <w:color w:val="0000EE"/>
            <w:u w:val="single"/>
          </w:rPr>
          <w:t>أعمال الرسل 20:1–6</w:t>
        </w:r>
      </w:hyperlink>
      <w:r>
        <w:rPr>
          <w:lang w:val="ar_AE" w:bidi="ar_AE"/>
        </w:rPr>
        <w:t xml:space="preserve">). من المحتمل أنه بعد تلك الزيارة، لم يرَ مسيحيي فيلبّي مرة أخرى (لكن انظر </w:t>
      </w:r>
      <w:hyperlink r:id="rId16">
        <w:r>
          <w:rPr>
            <w:lang w:val="ar_AE" w:bidi="ar_AE"/>
          </w:rPr>
          <w:rPr>
            <w:color w:val="0000EE"/>
            <w:u w:val="single"/>
          </w:rPr>
          <w:t>1 تيموثاوس 1:3</w:t>
        </w:r>
      </w:hyperlink>
      <w:r>
        <w:rPr>
          <w:lang w:val="ar_AE" w:bidi="ar_AE"/>
        </w:rPr>
        <w:t>، التي كُتبت 63 ميلادية تقريبًا).</w:t>
      </w:r>
    </w:p>
    <w:p>
      <w:pPr>
        <w:bidi/>
      </w:pPr>
      <w:r>
        <w:rPr>
          <w:lang w:val="ar_AE" w:bidi="ar_AE"/>
        </w:rPr>
      </w:r>
      <w:r>
        <w:rPr>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lang w:val="ar_AE" w:bidi="ar_AE"/>
        </w:rPr>
        <w:t>الخُلاصة</w:t>
      </w:r>
    </w:p>
    <w:p>
      <w:pPr>
        <w:bidi/>
      </w:pPr>
      <w:r>
        <w:rPr>
          <w:lang w:val="ar_AE" w:bidi="ar_AE"/>
        </w:rPr>
      </w:r>
      <w:r>
        <w:rPr>
          <w:lang w:val="ar_AE" w:bidi="ar_AE"/>
        </w:rPr>
        <w:t>بعد مقدمة قصيرة (</w:t>
      </w:r>
      <w:hyperlink r:id="rId17">
        <w:r>
          <w:rPr>
            <w:lang w:val="ar_AE" w:bidi="ar_AE"/>
          </w:rPr>
          <w:rPr>
            <w:color w:val="0000EE"/>
            <w:u w:val="single"/>
          </w:rPr>
          <w:t>1:1–2</w:t>
        </w:r>
      </w:hyperlink>
      <w:r>
        <w:rPr>
          <w:lang w:val="ar_AE" w:bidi="ar_AE"/>
        </w:rPr>
        <w:t>)، يُعبِّر بولس عن امتنانه لله من أجل أهل فيلبي ويصلي من أجل نموهم الروحي (</w:t>
      </w:r>
      <w:hyperlink r:id="rId18">
        <w:r>
          <w:rPr>
            <w:lang w:val="ar_AE" w:bidi="ar_AE"/>
          </w:rPr>
          <w:rPr>
            <w:color w:val="0000EE"/>
            <w:u w:val="single"/>
          </w:rPr>
          <w:t>1:3–11</w:t>
        </w:r>
      </w:hyperlink>
      <w:r>
        <w:rPr>
          <w:lang w:val="ar_AE" w:bidi="ar_AE"/>
        </w:rPr>
        <w:t>). ثم يتحدث عن تجربته الشخصية في السجن وكيف ساهمت في انتشار الخبر السار (</w:t>
      </w:r>
      <w:hyperlink r:id="rId19">
        <w:r>
          <w:rPr>
            <w:lang w:val="ar_AE" w:bidi="ar_AE"/>
          </w:rPr>
          <w:rPr>
            <w:color w:val="0000EE"/>
            <w:u w:val="single"/>
          </w:rPr>
          <w:t>1:12–19</w:t>
        </w:r>
      </w:hyperlink>
      <w:r>
        <w:rPr>
          <w:lang w:val="ar_AE" w:bidi="ar_AE"/>
        </w:rPr>
        <w:t>). إنَّ أعظم رغبة لبولس هي أن يعيش ويموت من أجل المسيح، بغض النظر عن حالته (</w:t>
      </w:r>
      <w:hyperlink r:id="rId20">
        <w:r>
          <w:rPr>
            <w:lang w:val="ar_AE" w:bidi="ar_AE"/>
          </w:rPr>
          <w:rPr>
            <w:color w:val="0000EE"/>
            <w:u w:val="single"/>
          </w:rPr>
          <w:t>1:20–26</w:t>
        </w:r>
      </w:hyperlink>
      <w:r>
        <w:rPr>
          <w:lang w:val="ar_AE" w:bidi="ar_AE"/>
        </w:rPr>
        <w:t>). يجب على أهل فيلبي أيضًا أن يكونوا أقوياء في إيمانهم في أثناء معاناتهم من أجل المسيح (</w:t>
      </w:r>
      <w:hyperlink r:id="rId21">
        <w:r>
          <w:rPr>
            <w:lang w:val="ar_AE" w:bidi="ar_AE"/>
          </w:rPr>
          <w:rPr>
            <w:color w:val="0000EE"/>
            <w:u w:val="single"/>
          </w:rPr>
          <w:t>1:27–30</w:t>
        </w:r>
      </w:hyperlink>
      <w:r>
        <w:rPr>
          <w:lang w:val="ar_AE" w:bidi="ar_AE"/>
        </w:rPr>
        <w:t>). ينبغي لهم دعم بعضهم بعضًا بحرارة، مُتذكرين مثال المسيح، الذي تخلَّى عن كل شيء وضحَّى بحياته من أجلهم (</w:t>
      </w:r>
      <w:hyperlink r:id="rId22">
        <w:r>
          <w:rPr>
            <w:lang w:val="ar_AE" w:bidi="ar_AE"/>
          </w:rPr>
          <w:rPr>
            <w:color w:val="0000EE"/>
            <w:u w:val="single"/>
          </w:rPr>
          <w:t>2:1–18</w:t>
        </w:r>
      </w:hyperlink>
      <w:r>
        <w:rPr>
          <w:lang w:val="ar_AE" w:bidi="ar_AE"/>
        </w:rPr>
        <w:t>).</w:t>
      </w:r>
    </w:p>
    <w:p>
      <w:pPr>
        <w:bidi/>
      </w:pPr>
      <w:r>
        <w:rPr>
          <w:lang w:val="ar_AE" w:bidi="ar_AE"/>
        </w:rPr>
      </w:r>
      <w:r>
        <w:rPr>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3">
        <w:r>
          <w:rPr>
            <w:lang w:val="ar_AE" w:bidi="ar_AE"/>
          </w:rPr>
          <w:rPr>
            <w:color w:val="0000EE"/>
            <w:u w:val="single"/>
          </w:rPr>
          <w:t>2:19–30</w:t>
        </w:r>
      </w:hyperlink>
      <w:r>
        <w:rPr>
          <w:lang w:val="ar_AE" w:bidi="ar_AE"/>
        </w:rPr>
        <w:t>).</w:t>
      </w:r>
    </w:p>
    <w:p>
      <w:pPr>
        <w:bidi/>
      </w:pPr>
      <w:r>
        <w:rPr>
          <w:lang w:val="ar_AE" w:bidi="ar_AE"/>
        </w:rPr>
      </w:r>
      <w:r>
        <w:rPr>
          <w:lang w:val="ar_AE" w:bidi="ar_AE"/>
        </w:rPr>
        <w:t>يُحذر بولس بعد ذلك أهل فيلبي من الدعاية اليهودية-المسيحية التي تتطلب الالتزام بشريعة موسى (</w:t>
      </w:r>
      <w:hyperlink r:id="rId24">
        <w:r>
          <w:rPr>
            <w:lang w:val="ar_AE" w:bidi="ar_AE"/>
          </w:rPr>
          <w:rPr>
            <w:color w:val="0000EE"/>
            <w:u w:val="single"/>
          </w:rPr>
          <w:t>3:1–3</w:t>
        </w:r>
      </w:hyperlink>
      <w:r>
        <w:rPr>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5">
        <w:r>
          <w:rPr>
            <w:lang w:val="ar_AE" w:bidi="ar_AE"/>
          </w:rPr>
          <w:rPr>
            <w:color w:val="0000EE"/>
            <w:u w:val="single"/>
          </w:rPr>
          <w:t>3:4–11</w:t>
        </w:r>
      </w:hyperlink>
      <w:r>
        <w:rPr>
          <w:lang w:val="ar_AE" w:bidi="ar_AE"/>
        </w:rPr>
        <w:t>). يجب على جميع المؤمنين أن يكونوا مُكرَّسين لتحقيق الحياة الكاملة في ٱلمسيح (</w:t>
      </w:r>
      <w:hyperlink r:id="rId26">
        <w:r>
          <w:rPr>
            <w:lang w:val="ar_AE" w:bidi="ar_AE"/>
          </w:rPr>
          <w:rPr>
            <w:color w:val="0000EE"/>
            <w:u w:val="single"/>
          </w:rPr>
          <w:t>3:12–4:1</w:t>
        </w:r>
      </w:hyperlink>
      <w:r>
        <w:rPr>
          <w:lang w:val="ar_AE" w:bidi="ar_AE"/>
        </w:rPr>
        <w:t>).</w:t>
      </w:r>
    </w:p>
    <w:p>
      <w:pPr>
        <w:bidi/>
      </w:pPr>
      <w:r>
        <w:rPr>
          <w:lang w:val="ar_AE" w:bidi="ar_AE"/>
        </w:rPr>
      </w:r>
      <w:r>
        <w:rPr>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7">
        <w:r>
          <w:rPr>
            <w:lang w:val="ar_AE" w:bidi="ar_AE"/>
          </w:rPr>
          <w:rPr>
            <w:color w:val="0000EE"/>
            <w:u w:val="single"/>
          </w:rPr>
          <w:t>4:2–9</w:t>
        </w:r>
      </w:hyperlink>
      <w:r>
        <w:rPr>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28">
        <w:r>
          <w:rPr>
            <w:lang w:val="ar_AE" w:bidi="ar_AE"/>
          </w:rPr>
          <w:rPr>
            <w:color w:val="0000EE"/>
            <w:u w:val="single"/>
          </w:rPr>
          <w:t>4:1–20</w:t>
        </w:r>
      </w:hyperlink>
      <w:r>
        <w:rPr>
          <w:lang w:val="ar_AE" w:bidi="ar_AE"/>
        </w:rPr>
        <w:t>). كالمعتاد، ينهي بولس رسالته بتمجيد الله وتوجيه التحيات للمؤمنين واستدعاء نعمة الرب (</w:t>
      </w:r>
      <w:hyperlink r:id="rId29">
        <w:r>
          <w:rPr>
            <w:lang w:val="ar_AE" w:bidi="ar_AE"/>
          </w:rPr>
          <w:rPr>
            <w:color w:val="0000EE"/>
            <w:u w:val="single"/>
          </w:rPr>
          <w:t>4:21–23</w:t>
        </w:r>
      </w:hyperlink>
      <w:r>
        <w:rPr>
          <w:lang w:val="ar_AE" w:bidi="ar_AE"/>
        </w:rPr>
        <w:t>).</w:t>
      </w:r>
    </w:p>
    <w:p>
      <w:pPr>
        <w:pStyle w:val="Heading2"/>
        <w:bidi/>
      </w:pPr>
      <w:r>
        <w:rPr>
          <w:lang w:val="ar_AE" w:bidi="ar_AE"/>
        </w:rPr>
        <w:t>تاريخ ومكان الكتابة</w:t>
      </w:r>
    </w:p>
    <w:p>
      <w:pPr>
        <w:bidi/>
      </w:pPr>
      <w:r>
        <w:rPr>
          <w:lang w:val="ar_AE" w:bidi="ar_AE"/>
        </w:rPr>
      </w:r>
      <w:r>
        <w:rPr>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0">
        <w:r>
          <w:rPr>
            <w:lang w:val="ar_AE" w:bidi="ar_AE"/>
          </w:rPr>
          <w:rPr>
            <w:color w:val="0000EE"/>
            <w:u w:val="single"/>
          </w:rPr>
          <w:t>أعمال الرسل 19:23–41</w:t>
        </w:r>
      </w:hyperlink>
      <w:r>
        <w:rPr>
          <w:lang w:val="ar_AE" w:bidi="ar_AE"/>
        </w:rPr>
        <w:t xml:space="preserve">؛ </w:t>
      </w:r>
      <w:hyperlink r:id="rId31">
        <w:r>
          <w:rPr>
            <w:lang w:val="ar_AE" w:bidi="ar_AE"/>
          </w:rPr>
          <w:rPr>
            <w:color w:val="0000EE"/>
            <w:u w:val="single"/>
          </w:rPr>
          <w:t>2 كور 11:23–28</w:t>
        </w:r>
      </w:hyperlink>
      <w:r>
        <w:rPr>
          <w:lang w:val="ar_AE" w:bidi="ar_AE"/>
        </w:rPr>
        <w:t>).</w:t>
      </w:r>
    </w:p>
    <w:p>
      <w:pPr>
        <w:pStyle w:val="Heading2"/>
        <w:bidi/>
      </w:pPr>
      <w:r>
        <w:rPr>
          <w:lang w:val="ar_AE" w:bidi="ar_AE"/>
        </w:rPr>
        <w:t>الوحدة الأدبية</w:t>
      </w:r>
    </w:p>
    <w:p>
      <w:pPr>
        <w:bidi/>
      </w:pPr>
      <w:r>
        <w:rPr>
          <w:lang w:val="ar_AE" w:bidi="ar_AE"/>
        </w:rPr>
      </w:r>
      <w:r>
        <w:rPr>
          <w:lang w:val="ar_AE" w:bidi="ar_AE"/>
        </w:rPr>
        <w:t xml:space="preserve">لتفسير التغيُّرات المفاجئة في المحتوى والنبرة في الكتابة (انظر خاصة </w:t>
      </w:r>
      <w:hyperlink r:id="rId32">
        <w:r>
          <w:rPr>
            <w:lang w:val="ar_AE" w:bidi="ar_AE"/>
          </w:rPr>
          <w:rPr>
            <w:color w:val="0000EE"/>
            <w:u w:val="single"/>
          </w:rPr>
          <w:t>3:2–4:3</w:t>
        </w:r>
      </w:hyperlink>
      <w:r>
        <w:rPr>
          <w:lang w:val="ar_AE" w:bidi="ar_AE"/>
        </w:rPr>
        <w:t xml:space="preserve"> و</w:t>
      </w:r>
      <w:hyperlink r:id="rId33">
        <w:r>
          <w:rPr>
            <w:lang w:val="ar_AE" w:bidi="ar_AE"/>
          </w:rPr>
          <w:rPr>
            <w:color w:val="0000EE"/>
            <w:u w:val="single"/>
          </w:rPr>
          <w:t>4:10–20</w:t>
        </w:r>
      </w:hyperlink>
      <w:r>
        <w:rPr>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lang w:val="ar_AE" w:bidi="ar_AE"/>
        </w:rPr>
        <w:t>المعنى والرسالة</w:t>
      </w:r>
    </w:p>
    <w:p>
      <w:pPr>
        <w:bidi/>
      </w:pPr>
      <w:r>
        <w:rPr>
          <w:lang w:val="ar_AE" w:bidi="ar_AE"/>
        </w:rPr>
      </w:r>
      <w:r>
        <w:rPr>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lang w:val="ar_AE" w:bidi="ar_AE"/>
        </w:rPr>
      </w:r>
      <w:r>
        <w:rPr>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4">
        <w:r>
          <w:rPr>
            <w:lang w:val="ar_AE" w:bidi="ar_AE"/>
          </w:rPr>
          <w:rPr>
            <w:color w:val="0000EE"/>
            <w:u w:val="single"/>
          </w:rPr>
          <w:t>1:12–26</w:t>
        </w:r>
      </w:hyperlink>
      <w:r>
        <w:rPr>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5">
        <w:r>
          <w:rPr>
            <w:lang w:val="ar_AE" w:bidi="ar_AE"/>
          </w:rPr>
          <w:rPr>
            <w:color w:val="0000EE"/>
            <w:u w:val="single"/>
          </w:rPr>
          <w:t>3:7–14</w:t>
        </w:r>
      </w:hyperlink>
      <w:r>
        <w:rPr>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6">
        <w:r>
          <w:rPr>
            <w:lang w:val="ar_AE" w:bidi="ar_AE"/>
          </w:rPr>
          <w:rPr>
            <w:color w:val="0000EE"/>
            <w:u w:val="single"/>
          </w:rPr>
          <w:t>4:11–13</w:t>
        </w:r>
      </w:hyperlink>
      <w:r>
        <w:rPr>
          <w:lang w:val="ar_AE" w:bidi="ar_AE"/>
        </w:rPr>
        <w:t>).</w:t>
      </w:r>
    </w:p>
    <w:p>
      <w:pPr>
        <w:bidi/>
      </w:pPr>
      <w:r>
        <w:rPr>
          <w:lang w:val="ar_AE" w:bidi="ar_AE"/>
        </w:rPr>
      </w:r>
      <w:r>
        <w:rPr>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7">
        <w:r>
          <w:rPr>
            <w:lang w:val="ar_AE" w:bidi="ar_AE"/>
          </w:rPr>
          <w:rPr>
            <w:color w:val="0000EE"/>
            <w:u w:val="single"/>
          </w:rPr>
          <w:t>4:4–9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