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hyperlink r:id="rId13">
        <w:r>
          <w:rPr>
            <w:lang w:val="fr_FR" w:bidi="fr_FR"/>
          </w:rPr>
          <w:rPr>
            <w:color w:val="0000EE"/>
            <w:u w:val="single"/>
          </w:rPr>
          <w:t>Lv 11.44–45</w:t>
        </w:r>
      </w:hyperlink>
      <w:r>
        <w:rPr>
          <w:lang w:val="fr_FR" w:bidi="fr_FR"/>
        </w:rPr>
        <w:t xml:space="preserve"> ; </w:t>
      </w:r>
      <w:hyperlink r:id="rId14">
        <w:r>
          <w:rPr>
            <w:lang w:val="fr_FR" w:bidi="fr_FR"/>
          </w:rPr>
          <w:rPr>
            <w:color w:val="0000EE"/>
            <w:u w:val="single"/>
          </w:rPr>
          <w:t>1P 1.15–16</w:t>
        </w:r>
      </w:hyperlink>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hyperlink r:id="rId15">
        <w:r>
          <w:rPr>
            <w:lang w:val="fr_FR" w:bidi="fr_FR"/>
          </w:rPr>
          <w:rPr>
            <w:color w:val="0000EE"/>
            <w:u w:val="single"/>
          </w:rPr>
          <w:t>Gn 12</w:t>
        </w:r>
      </w:hyperlink>
      <w:r>
        <w:rPr>
          <w:lang w:val="fr_FR" w:bidi="fr_FR"/>
        </w:rPr>
        <w:t xml:space="preserve">, </w:t>
      </w:r>
      <w:hyperlink r:id="rId16">
        <w:r>
          <w:rPr>
            <w:lang w:val="fr_FR" w:bidi="fr_FR"/>
          </w:rPr>
          <w:rPr>
            <w:color w:val="0000EE"/>
            <w:u w:val="single"/>
          </w:rPr>
          <w:t>15</w:t>
        </w:r>
      </w:hyperlink>
      <w:r>
        <w:rPr>
          <w:lang w:val="fr_FR" w:bidi="fr_FR"/>
        </w:rPr>
        <w:t xml:space="preserve">, </w:t>
      </w:r>
      <w:hyperlink r:id="rId17">
        <w:r>
          <w:rPr>
            <w:lang w:val="fr_FR" w:bidi="fr_FR"/>
          </w:rPr>
          <w:rPr>
            <w:color w:val="0000EE"/>
            <w:u w:val="single"/>
          </w:rPr>
          <w:t>17</w:t>
        </w:r>
      </w:hyperlink>
      <w:r>
        <w:rPr>
          <w:lang w:val="fr_FR" w:bidi="fr_FR"/>
        </w:rPr>
        <w:t>) et la libération des Israélites de l’esclavage en Égypte (</w:t>
      </w:r>
      <w:hyperlink r:id="rId18">
        <w:r>
          <w:rPr>
            <w:lang w:val="fr_FR" w:bidi="fr_FR"/>
          </w:rPr>
          <w:rPr>
            <w:color w:val="0000EE"/>
            <w:u w:val="single"/>
          </w:rPr>
          <w:t>Ex 1–15</w:t>
        </w:r>
      </w:hyperlink>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19">
        <w:r>
          <w:rPr>
            <w:lang w:val="fr_FR" w:bidi="fr_FR"/>
          </w:rPr>
          <w:rPr>
            <w:color w:val="0000EE"/>
            <w:u w:val="single"/>
          </w:rPr>
          <w:t>Ex 19.5–6</w:t>
        </w:r>
      </w:hyperlink>
      <w:r>
        <w:rPr>
          <w:lang w:val="fr_FR" w:bidi="fr_FR"/>
        </w:rPr>
        <w:t>). Le peuple d’Israël avait reçu les Dix Commandements (</w:t>
      </w:r>
      <w:hyperlink r:id="rId20">
        <w:r>
          <w:rPr>
            <w:lang w:val="fr_FR" w:bidi="fr_FR"/>
          </w:rPr>
          <w:rPr>
            <w:color w:val="0000EE"/>
            <w:u w:val="single"/>
          </w:rPr>
          <w:t>Ex 20.1–17</w:t>
        </w:r>
      </w:hyperlink>
      <w:r>
        <w:rPr>
          <w:lang w:val="fr_FR" w:bidi="fr_FR"/>
        </w:rPr>
        <w:t>), les plans pour le Tabernacle (</w:t>
      </w:r>
      <w:hyperlink r:id="rId21">
        <w:r>
          <w:rPr>
            <w:lang w:val="fr_FR" w:bidi="fr_FR"/>
          </w:rPr>
          <w:rPr>
            <w:color w:val="0000EE"/>
            <w:u w:val="single"/>
          </w:rPr>
          <w:t xml:space="preserve">Ex 25–27 </w:t>
        </w:r>
      </w:hyperlink>
      <w:r>
        <w:rPr>
          <w:lang w:val="fr_FR" w:bidi="fr_FR"/>
        </w:rPr>
        <w:t xml:space="preserve">; </w:t>
      </w:r>
      <w:hyperlink r:id="rId22">
        <w:r>
          <w:rPr>
            <w:lang w:val="fr_FR" w:bidi="fr_FR"/>
          </w:rPr>
          <w:rPr>
            <w:color w:val="0000EE"/>
            <w:u w:val="single"/>
          </w:rPr>
          <w:t>30.1–38</w:t>
        </w:r>
      </w:hyperlink>
      <w:r>
        <w:rPr>
          <w:lang w:val="fr_FR" w:bidi="fr_FR"/>
        </w:rPr>
        <w:t>), et les instructions concernant l’institution du sacerdoce (</w:t>
      </w:r>
      <w:hyperlink r:id="rId23">
        <w:r>
          <w:rPr>
            <w:lang w:val="fr_FR" w:bidi="fr_FR"/>
          </w:rPr>
          <w:rPr>
            <w:color w:val="0000EE"/>
            <w:u w:val="single"/>
          </w:rPr>
          <w:t>Ex 28–29</w:t>
        </w:r>
      </w:hyperlink>
      <w:r>
        <w:rPr>
          <w:lang w:val="fr_FR" w:bidi="fr_FR"/>
        </w:rPr>
        <w:t>). Le Tabernacle avait été achevé et consacré (</w:t>
      </w:r>
      <w:hyperlink r:id="rId24">
        <w:r>
          <w:rPr>
            <w:lang w:val="fr_FR" w:bidi="fr_FR"/>
          </w:rPr>
          <w:rPr>
            <w:color w:val="0000EE"/>
            <w:u w:val="single"/>
          </w:rPr>
          <w:t>Ex 35–40</w:t>
        </w:r>
      </w:hyperlink>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hyperlink r:id="rId25">
        <w:r>
          <w:rPr>
            <w:lang w:val="fr_FR" w:bidi="fr_FR"/>
          </w:rPr>
          <w:rPr>
            <w:color w:val="0000EE"/>
            <w:u w:val="single"/>
          </w:rPr>
          <w:t>Ex 28</w:t>
        </w:r>
      </w:hyperlink>
      <w:r>
        <w:rPr>
          <w:lang w:val="fr_FR" w:bidi="fr_FR"/>
        </w:rPr>
        <w:t xml:space="preserve"> ; </w:t>
      </w:r>
      <w:hyperlink r:id="rId26">
        <w:r>
          <w:rPr>
            <w:lang w:val="fr_FR" w:bidi="fr_FR"/>
          </w:rPr>
          <w:rPr>
            <w:color w:val="0000EE"/>
            <w:u w:val="single"/>
          </w:rPr>
          <w:t>Nb 3.44–4.49</w:t>
        </w:r>
      </w:hyperlink>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hyperlink r:id="rId27">
        <w:r>
          <w:rPr>
            <w:lang w:val="fr_FR" w:bidi="fr_FR"/>
          </w:rPr>
          <w:rPr>
            <w:color w:val="0000EE"/>
            <w:u w:val="single"/>
          </w:rPr>
          <w:t>Dt 6.5</w:t>
        </w:r>
      </w:hyperlink>
      <w:r>
        <w:rPr>
          <w:lang w:val="fr_FR" w:bidi="fr_FR"/>
        </w:rPr>
        <w:t xml:space="preserve"> ; </w:t>
      </w:r>
      <w:hyperlink r:id="rId28">
        <w:r>
          <w:rPr>
            <w:lang w:val="fr_FR" w:bidi="fr_FR"/>
          </w:rPr>
          <w:rPr>
            <w:color w:val="0000EE"/>
            <w:u w:val="single"/>
          </w:rPr>
          <w:t>11.1</w:t>
        </w:r>
      </w:hyperlink>
      <w:r>
        <w:rPr>
          <w:lang w:val="fr_FR" w:bidi="fr_FR"/>
        </w:rPr>
        <w:t>). En réponse, le peuple est aussi appelé à s’aimer et à se servir mutuellement (</w:t>
      </w:r>
      <w:hyperlink r:id="rId29">
        <w:r>
          <w:rPr>
            <w:lang w:val="fr_FR" w:bidi="fr_FR"/>
          </w:rPr>
          <w:rPr>
            <w:color w:val="0000EE"/>
            <w:u w:val="single"/>
          </w:rPr>
          <w:t>19.18</w:t>
        </w:r>
      </w:hyperlink>
      <w:r>
        <w:rPr>
          <w:lang w:val="fr_FR" w:bidi="fr_FR"/>
        </w:rPr>
        <w:t xml:space="preserve">, </w:t>
      </w:r>
      <w:hyperlink r:id="rId30">
        <w:r>
          <w:rPr>
            <w:lang w:val="fr_FR" w:bidi="fr_FR"/>
          </w:rPr>
          <w:rPr>
            <w:color w:val="0000EE"/>
            <w:u w:val="single"/>
          </w:rPr>
          <w:t>33–34</w:t>
        </w:r>
      </w:hyperlink>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hyperlink r:id="rId31">
        <w:r>
          <w:rPr>
            <w:lang w:val="fr_FR" w:bidi="fr_FR"/>
          </w:rPr>
          <w:rPr>
            <w:color w:val="0000EE"/>
            <w:u w:val="single"/>
          </w:rPr>
          <w:t>Ac 7.20–22</w:t>
        </w:r>
      </w:hyperlink>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hyperlink r:id="rId32">
        <w:r>
          <w:rPr>
            <w:lang w:val="fr_FR" w:bidi="fr_FR"/>
          </w:rPr>
          <w:rPr>
            <w:color w:val="0000EE"/>
            <w:u w:val="single"/>
          </w:rPr>
          <w:t xml:space="preserve">1.1–2 </w:t>
        </w:r>
      </w:hyperlink>
      <w:r>
        <w:rPr>
          <w:lang w:val="fr_FR" w:bidi="fr_FR"/>
        </w:rPr>
        <w:t xml:space="preserve">; </w:t>
      </w:r>
      <w:hyperlink r:id="rId33">
        <w:r>
          <w:rPr>
            <w:lang w:val="fr_FR" w:bidi="fr_FR"/>
          </w:rPr>
          <w:rPr>
            <w:color w:val="0000EE"/>
            <w:u w:val="single"/>
          </w:rPr>
          <w:t>27.34</w:t>
        </w:r>
      </w:hyperlink>
      <w:r>
        <w:rPr>
          <w:lang w:val="fr_FR" w:bidi="fr_FR"/>
        </w:rPr>
        <w:t xml:space="preserve">). Le Lévitique décrit à plusieurs reprises comment Moïse a reçu les instructions du Seigneur (par exemple aux versets </w:t>
      </w:r>
      <w:hyperlink r:id="rId34">
        <w:r>
          <w:rPr>
            <w:lang w:val="fr_FR" w:bidi="fr_FR"/>
          </w:rPr>
          <w:rPr>
            <w:color w:val="0000EE"/>
            <w:u w:val="single"/>
          </w:rPr>
          <w:t xml:space="preserve">4.1 </w:t>
        </w:r>
      </w:hyperlink>
      <w:r>
        <w:rPr>
          <w:lang w:val="fr_FR" w:bidi="fr_FR"/>
        </w:rPr>
        <w:t xml:space="preserve">; </w:t>
      </w:r>
      <w:hyperlink r:id="rId35">
        <w:r>
          <w:rPr>
            <w:lang w:val="fr_FR" w:bidi="fr_FR"/>
          </w:rPr>
          <w:rPr>
            <w:color w:val="0000EE"/>
            <w:u w:val="single"/>
          </w:rPr>
          <w:t xml:space="preserve">5.14 </w:t>
        </w:r>
      </w:hyperlink>
      <w:r>
        <w:rPr>
          <w:lang w:val="fr_FR" w:bidi="fr_FR"/>
        </w:rPr>
        <w:t xml:space="preserve">; </w:t>
      </w:r>
      <w:hyperlink r:id="rId36">
        <w:r>
          <w:rPr>
            <w:lang w:val="fr_FR" w:bidi="fr_FR"/>
          </w:rPr>
          <w:rPr>
            <w:color w:val="0000EE"/>
            <w:u w:val="single"/>
          </w:rPr>
          <w:t>6.1</w:t>
        </w:r>
      </w:hyperlink>
      <w:r>
        <w:rPr>
          <w:lang w:val="fr_FR" w:bidi="fr_FR"/>
        </w:rPr>
        <w:t xml:space="preserve">, </w:t>
      </w:r>
      <w:hyperlink r:id="rId37">
        <w:r>
          <w:rPr>
            <w:lang w:val="fr_FR" w:bidi="fr_FR"/>
          </w:rPr>
          <w:rPr>
            <w:color w:val="0000EE"/>
            <w:u w:val="single"/>
          </w:rPr>
          <w:t>8</w:t>
        </w:r>
      </w:hyperlink>
      <w:r>
        <w:rPr>
          <w:lang w:val="fr_FR" w:bidi="fr_FR"/>
        </w:rPr>
        <w:t xml:space="preserve">, </w:t>
      </w:r>
      <w:hyperlink r:id="rId38">
        <w:r>
          <w:rPr>
            <w:lang w:val="fr_FR" w:bidi="fr_FR"/>
          </w:rPr>
          <w:rPr>
            <w:color w:val="0000EE"/>
            <w:u w:val="single"/>
          </w:rPr>
          <w:t>19</w:t>
        </w:r>
      </w:hyperlink>
      <w:r>
        <w:rPr>
          <w:lang w:val="fr_FR" w:bidi="fr_FR"/>
        </w:rPr>
        <w:t xml:space="preserve">, </w:t>
      </w:r>
      <w:hyperlink r:id="rId39">
        <w:r>
          <w:rPr>
            <w:lang w:val="fr_FR" w:bidi="fr_FR"/>
          </w:rPr>
          <w:rPr>
            <w:color w:val="0000EE"/>
            <w:u w:val="single"/>
          </w:rPr>
          <w:t>24 ;</w:t>
        </w:r>
      </w:hyperlink>
      <w:r>
        <w:rPr>
          <w:lang w:val="fr_FR" w:bidi="fr_FR"/>
        </w:rPr>
        <w:t xml:space="preserve"> </w:t>
      </w:r>
      <w:hyperlink r:id="rId40">
        <w:r>
          <w:rPr>
            <w:lang w:val="fr_FR" w:bidi="fr_FR"/>
          </w:rPr>
          <w:rPr>
            <w:color w:val="0000EE"/>
            <w:u w:val="single"/>
          </w:rPr>
          <w:t>7.22</w:t>
        </w:r>
      </w:hyperlink>
      <w:r>
        <w:rPr>
          <w:lang w:val="fr_FR" w:bidi="fr_FR"/>
        </w:rPr>
        <w:t xml:space="preserve">, </w:t>
      </w:r>
      <w:hyperlink r:id="rId41">
        <w:r>
          <w:rPr>
            <w:lang w:val="fr_FR" w:bidi="fr_FR"/>
          </w:rPr>
          <w:rPr>
            <w:color w:val="0000EE"/>
            <w:u w:val="single"/>
          </w:rPr>
          <w:t>28 ;</w:t>
        </w:r>
      </w:hyperlink>
      <w:r>
        <w:rPr>
          <w:lang w:val="fr_FR" w:bidi="fr_FR"/>
        </w:rPr>
        <w:t xml:space="preserve"> </w:t>
      </w:r>
      <w:hyperlink r:id="rId42">
        <w:r>
          <w:rPr>
            <w:lang w:val="fr_FR" w:bidi="fr_FR"/>
          </w:rPr>
          <w:rPr>
            <w:color w:val="0000EE"/>
            <w:u w:val="single"/>
          </w:rPr>
          <w:t>8.1</w:t>
        </w:r>
      </w:hyperlink>
      <w:r>
        <w:rPr>
          <w:lang w:val="fr_FR" w:bidi="fr_FR"/>
        </w:rPr>
        <w:t>) et les a mises en œuvre (</w:t>
      </w:r>
      <w:hyperlink r:id="rId43">
        <w:r>
          <w:rPr>
            <w:lang w:val="fr_FR" w:bidi="fr_FR"/>
          </w:rPr>
          <w:rPr>
            <w:color w:val="0000EE"/>
            <w:u w:val="single"/>
          </w:rPr>
          <w:t>8.4–10.20</w:t>
        </w:r>
      </w:hyperlink>
      <w:r>
        <w:rPr>
          <w:lang w:val="fr_FR" w:bidi="fr_FR"/>
        </w:rPr>
        <w:t xml:space="preserve">). L’Ancien Testament présente souvent Moïse comme l’auteur du Pentateuque (Genèse-Deutéronome ; voir </w:t>
      </w:r>
      <w:hyperlink r:id="rId44">
        <w:r>
          <w:rPr>
            <w:lang w:val="fr_FR" w:bidi="fr_FR"/>
          </w:rPr>
          <w:rPr>
            <w:color w:val="0000EE"/>
            <w:u w:val="single"/>
          </w:rPr>
          <w:t xml:space="preserve">Jos 8.31–32 </w:t>
        </w:r>
      </w:hyperlink>
      <w:r>
        <w:rPr>
          <w:lang w:val="fr_FR" w:bidi="fr_FR"/>
        </w:rPr>
        <w:t xml:space="preserve">; </w:t>
      </w:r>
      <w:hyperlink r:id="rId45">
        <w:r>
          <w:rPr>
            <w:lang w:val="fr_FR" w:bidi="fr_FR"/>
          </w:rPr>
          <w:rPr>
            <w:color w:val="0000EE"/>
            <w:u w:val="single"/>
          </w:rPr>
          <w:t xml:space="preserve">23.6 </w:t>
        </w:r>
      </w:hyperlink>
      <w:r>
        <w:rPr>
          <w:lang w:val="fr_FR" w:bidi="fr_FR"/>
        </w:rPr>
        <w:t xml:space="preserve">; </w:t>
      </w:r>
      <w:hyperlink r:id="rId46">
        <w:r>
          <w:rPr>
            <w:lang w:val="fr_FR" w:bidi="fr_FR"/>
          </w:rPr>
          <w:rPr>
            <w:color w:val="0000EE"/>
            <w:u w:val="single"/>
          </w:rPr>
          <w:t xml:space="preserve">1R 2.3 </w:t>
        </w:r>
      </w:hyperlink>
      <w:r>
        <w:rPr>
          <w:lang w:val="fr_FR" w:bidi="fr_FR"/>
        </w:rPr>
        <w:t xml:space="preserve">; </w:t>
      </w:r>
      <w:hyperlink r:id="rId47">
        <w:r>
          <w:rPr>
            <w:lang w:val="fr_FR" w:bidi="fr_FR"/>
          </w:rPr>
          <w:rPr>
            <w:color w:val="0000EE"/>
            <w:u w:val="single"/>
          </w:rPr>
          <w:t xml:space="preserve">2R 14.6 </w:t>
        </w:r>
      </w:hyperlink>
      <w:r>
        <w:rPr>
          <w:lang w:val="fr_FR" w:bidi="fr_FR"/>
        </w:rPr>
        <w:t xml:space="preserve">; </w:t>
      </w:r>
      <w:hyperlink r:id="rId48">
        <w:r>
          <w:rPr>
            <w:lang w:val="fr_FR" w:bidi="fr_FR"/>
          </w:rPr>
          <w:rPr>
            <w:color w:val="0000EE"/>
            <w:u w:val="single"/>
          </w:rPr>
          <w:t xml:space="preserve">23.25 </w:t>
        </w:r>
      </w:hyperlink>
      <w:r>
        <w:rPr>
          <w:lang w:val="fr_FR" w:bidi="fr_FR"/>
        </w:rPr>
        <w:t xml:space="preserve">; </w:t>
      </w:r>
      <w:hyperlink r:id="rId49">
        <w:r>
          <w:rPr>
            <w:lang w:val="fr_FR" w:bidi="fr_FR"/>
          </w:rPr>
          <w:rPr>
            <w:color w:val="0000EE"/>
            <w:u w:val="single"/>
          </w:rPr>
          <w:t xml:space="preserve">2Ch 23.1 8 </w:t>
        </w:r>
      </w:hyperlink>
      <w:r>
        <w:rPr>
          <w:lang w:val="fr_FR" w:bidi="fr_FR"/>
        </w:rPr>
        <w:t xml:space="preserve">; </w:t>
      </w:r>
      <w:hyperlink r:id="rId50">
        <w:r>
          <w:rPr>
            <w:lang w:val="fr_FR" w:bidi="fr_FR"/>
          </w:rPr>
          <w:rPr>
            <w:color w:val="0000EE"/>
            <w:u w:val="single"/>
          </w:rPr>
          <w:t xml:space="preserve">30.16 </w:t>
        </w:r>
      </w:hyperlink>
      <w:r>
        <w:rPr>
          <w:lang w:val="fr_FR" w:bidi="fr_FR"/>
        </w:rPr>
        <w:t xml:space="preserve">; </w:t>
      </w:r>
      <w:hyperlink r:id="rId51">
        <w:r>
          <w:rPr>
            <w:lang w:val="fr_FR" w:bidi="fr_FR"/>
          </w:rPr>
          <w:rPr>
            <w:color w:val="0000EE"/>
            <w:u w:val="single"/>
          </w:rPr>
          <w:t xml:space="preserve">Esd 3.2 </w:t>
        </w:r>
      </w:hyperlink>
      <w:r>
        <w:rPr>
          <w:lang w:val="fr_FR" w:bidi="fr_FR"/>
        </w:rPr>
        <w:t xml:space="preserve">; </w:t>
      </w:r>
      <w:hyperlink r:id="rId52">
        <w:r>
          <w:rPr>
            <w:lang w:val="fr_FR" w:bidi="fr_FR"/>
          </w:rPr>
          <w:rPr>
            <w:color w:val="0000EE"/>
            <w:u w:val="single"/>
          </w:rPr>
          <w:t xml:space="preserve">7.6 </w:t>
        </w:r>
      </w:hyperlink>
      <w:r>
        <w:rPr>
          <w:lang w:val="fr_FR" w:bidi="fr_FR"/>
        </w:rPr>
        <w:t xml:space="preserve">; </w:t>
      </w:r>
      <w:hyperlink r:id="rId53">
        <w:r>
          <w:rPr>
            <w:lang w:val="fr_FR" w:bidi="fr_FR"/>
          </w:rPr>
          <w:rPr>
            <w:color w:val="0000EE"/>
            <w:u w:val="single"/>
          </w:rPr>
          <w:t xml:space="preserve">Né 8.1 </w:t>
        </w:r>
      </w:hyperlink>
      <w:r>
        <w:rPr>
          <w:lang w:val="fr_FR" w:bidi="fr_FR"/>
        </w:rPr>
        <w:t xml:space="preserve">; </w:t>
      </w:r>
      <w:hyperlink r:id="rId54">
        <w:r>
          <w:rPr>
            <w:lang w:val="fr_FR" w:bidi="fr_FR"/>
          </w:rPr>
          <w:rPr>
            <w:color w:val="0000EE"/>
            <w:u w:val="single"/>
          </w:rPr>
          <w:t>Dn 9.11–13</w:t>
        </w:r>
      </w:hyperlink>
      <w:r>
        <w:rPr>
          <w:lang w:val="fr_FR" w:bidi="fr_FR"/>
        </w:rPr>
        <w:t>). Le Nouveau Testament en fait de même (</w:t>
      </w:r>
      <w:hyperlink r:id="rId55">
        <w:r>
          <w:rPr>
            <w:lang w:val="fr_FR" w:bidi="fr_FR"/>
          </w:rPr>
          <w:rPr>
            <w:color w:val="0000EE"/>
            <w:u w:val="single"/>
          </w:rPr>
          <w:t xml:space="preserve">Mt 19.7–8 </w:t>
        </w:r>
      </w:hyperlink>
      <w:r>
        <w:rPr>
          <w:lang w:val="fr_FR" w:bidi="fr_FR"/>
        </w:rPr>
        <w:t xml:space="preserve">; </w:t>
      </w:r>
      <w:hyperlink r:id="rId56">
        <w:r>
          <w:rPr>
            <w:lang w:val="fr_FR" w:bidi="fr_FR"/>
          </w:rPr>
          <w:rPr>
            <w:color w:val="0000EE"/>
            <w:u w:val="single"/>
          </w:rPr>
          <w:t xml:space="preserve">Lc 2.22 </w:t>
        </w:r>
      </w:hyperlink>
      <w:r>
        <w:rPr>
          <w:lang w:val="fr_FR" w:bidi="fr_FR"/>
        </w:rPr>
        <w:t xml:space="preserve">; </w:t>
      </w:r>
      <w:hyperlink r:id="rId57">
        <w:r>
          <w:rPr>
            <w:lang w:val="fr_FR" w:bidi="fr_FR"/>
          </w:rPr>
          <w:rPr>
            <w:color w:val="0000EE"/>
            <w:u w:val="single"/>
          </w:rPr>
          <w:t xml:space="preserve">24.44 </w:t>
        </w:r>
      </w:hyperlink>
      <w:r>
        <w:rPr>
          <w:lang w:val="fr_FR" w:bidi="fr_FR"/>
        </w:rPr>
        <w:t xml:space="preserve">; </w:t>
      </w:r>
      <w:hyperlink r:id="rId58">
        <w:r>
          <w:rPr>
            <w:lang w:val="fr_FR" w:bidi="fr_FR"/>
          </w:rPr>
          <w:rPr>
            <w:color w:val="0000EE"/>
            <w:u w:val="single"/>
          </w:rPr>
          <w:t>Jn 7.19</w:t>
        </w:r>
      </w:hyperlink>
      <w:r>
        <w:rPr>
          <w:lang w:val="fr_FR" w:bidi="fr_FR"/>
        </w:rPr>
        <w:t xml:space="preserve">, </w:t>
      </w:r>
      <w:hyperlink r:id="rId59">
        <w:r>
          <w:rPr>
            <w:lang w:val="fr_FR" w:bidi="fr_FR"/>
          </w:rPr>
          <w:rPr>
            <w:color w:val="0000EE"/>
            <w:u w:val="single"/>
          </w:rPr>
          <w:t xml:space="preserve">23 </w:t>
        </w:r>
      </w:hyperlink>
      <w:r>
        <w:rPr>
          <w:lang w:val="fr_FR" w:bidi="fr_FR"/>
        </w:rPr>
        <w:t xml:space="preserve">; </w:t>
      </w:r>
      <w:hyperlink r:id="rId60">
        <w:r>
          <w:rPr>
            <w:lang w:val="fr_FR" w:bidi="fr_FR"/>
          </w:rPr>
          <w:rPr>
            <w:color w:val="0000EE"/>
            <w:u w:val="single"/>
          </w:rPr>
          <w:t xml:space="preserve">Rm 10.5 </w:t>
        </w:r>
      </w:hyperlink>
      <w:r>
        <w:rPr>
          <w:lang w:val="fr_FR" w:bidi="fr_FR"/>
        </w:rPr>
        <w:t xml:space="preserve">; </w:t>
      </w:r>
      <w:hyperlink r:id="rId61">
        <w:r>
          <w:rPr>
            <w:lang w:val="fr_FR" w:bidi="fr_FR"/>
          </w:rPr>
          <w:rPr>
            <w:color w:val="0000EE"/>
            <w:u w:val="single"/>
          </w:rPr>
          <w:t xml:space="preserve">1Co 9.9 </w:t>
        </w:r>
      </w:hyperlink>
      <w:r>
        <w:rPr>
          <w:lang w:val="fr_FR" w:bidi="fr_FR"/>
        </w:rPr>
        <w:t xml:space="preserve">; </w:t>
      </w:r>
      <w:hyperlink r:id="rId62">
        <w:r>
          <w:rPr>
            <w:lang w:val="fr_FR" w:bidi="fr_FR"/>
          </w:rPr>
          <w:rPr>
            <w:color w:val="0000EE"/>
            <w:u w:val="single"/>
          </w:rPr>
          <w:t>Hé 10.28</w:t>
        </w:r>
      </w:hyperlink>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3">
        <w:r>
          <w:rPr>
            <w:lang w:val="fr_FR" w:bidi="fr_FR"/>
          </w:rPr>
          <w:rPr>
            <w:color w:val="0000EE"/>
            <w:u w:val="single"/>
          </w:rPr>
          <w:t>11.44–45</w:t>
        </w:r>
      </w:hyperlink>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3">
        <w:r>
          <w:rPr>
            <w:lang w:val="fr_FR" w:bidi="fr_FR"/>
          </w:rPr>
          <w:rPr>
            <w:color w:val="0000EE"/>
            <w:u w:val="single"/>
          </w:rPr>
          <w:t>Lv 11.44–45</w:t>
        </w:r>
      </w:hyperlink>
      <w:r>
        <w:rPr>
          <w:lang w:val="fr_FR" w:bidi="fr_FR"/>
        </w:rPr>
        <w:t xml:space="preserve"> ; </w:t>
      </w:r>
      <w:hyperlink r:id="rId63">
        <w:r>
          <w:rPr>
            <w:lang w:val="fr_FR" w:bidi="fr_FR"/>
          </w:rPr>
          <w:rPr>
            <w:color w:val="0000EE"/>
            <w:u w:val="single"/>
          </w:rPr>
          <w:t>19.2</w:t>
        </w:r>
      </w:hyperlink>
      <w:r>
        <w:rPr>
          <w:lang w:val="fr_FR" w:bidi="fr_FR"/>
        </w:rPr>
        <w:t xml:space="preserve"> ; voir </w:t>
      </w:r>
      <w:hyperlink r:id="rId64">
        <w:r>
          <w:rPr>
            <w:lang w:val="fr_FR" w:bidi="fr_FR"/>
          </w:rPr>
          <w:rPr>
            <w:color w:val="0000EE"/>
            <w:u w:val="single"/>
          </w:rPr>
          <w:t>1Co 3.17</w:t>
        </w:r>
      </w:hyperlink>
      <w:r>
        <w:rPr>
          <w:lang w:val="fr_FR" w:bidi="fr_FR"/>
        </w:rPr>
        <w:t xml:space="preserve"> ; </w:t>
      </w:r>
      <w:hyperlink r:id="rId65">
        <w:r>
          <w:rPr>
            <w:lang w:val="fr_FR" w:bidi="fr_FR"/>
          </w:rPr>
          <w:rPr>
            <w:color w:val="0000EE"/>
            <w:u w:val="single"/>
          </w:rPr>
          <w:t>1P 1.15</w:t>
        </w:r>
      </w:hyperlink>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6">
        <w:r>
          <w:rPr>
            <w:lang w:val="fr_FR" w:bidi="fr_FR"/>
          </w:rPr>
          <w:rPr>
            <w:color w:val="0000EE"/>
            <w:u w:val="single"/>
          </w:rPr>
          <w:t>Mt 22.39</w:t>
        </w:r>
      </w:hyperlink>
      <w:r>
        <w:rPr>
          <w:lang w:val="fr_FR" w:bidi="fr_FR"/>
        </w:rPr>
        <w:t xml:space="preserve"> ; </w:t>
      </w:r>
      <w:hyperlink r:id="rId67">
        <w:r>
          <w:rPr>
            <w:lang w:val="fr_FR" w:bidi="fr_FR"/>
          </w:rPr>
          <w:rPr>
            <w:color w:val="0000EE"/>
            <w:u w:val="single"/>
          </w:rPr>
          <w:t>Mc 12.31</w:t>
        </w:r>
      </w:hyperlink>
      <w:r>
        <w:rPr>
          <w:lang w:val="fr_FR" w:bidi="fr_FR"/>
        </w:rPr>
        <w:t xml:space="preserve"> ; </w:t>
      </w:r>
      <w:hyperlink r:id="rId68">
        <w:r>
          <w:rPr>
            <w:lang w:val="fr_FR" w:bidi="fr_FR"/>
          </w:rPr>
          <w:rPr>
            <w:color w:val="0000EE"/>
            <w:u w:val="single"/>
          </w:rPr>
          <w:t>Lc 10.27</w:t>
        </w:r>
      </w:hyperlink>
      <w:r>
        <w:rPr>
          <w:lang w:val="fr_FR" w:bidi="fr_FR"/>
        </w:rPr>
        <w:t xml:space="preserve"> ; </w:t>
      </w:r>
      <w:hyperlink r:id="rId69">
        <w:r>
          <w:rPr>
            <w:lang w:val="fr_FR" w:bidi="fr_FR"/>
          </w:rPr>
          <w:rPr>
            <w:color w:val="0000EE"/>
            <w:u w:val="single"/>
          </w:rPr>
          <w:t>Rm 13.9</w:t>
        </w:r>
      </w:hyperlink>
      <w:r>
        <w:rPr>
          <w:lang w:val="fr_FR" w:bidi="fr_FR"/>
        </w:rPr>
        <w:t xml:space="preserve"> ; </w:t>
      </w:r>
      <w:hyperlink r:id="rId70">
        <w:r>
          <w:rPr>
            <w:lang w:val="fr_FR" w:bidi="fr_FR"/>
          </w:rPr>
          <w:rPr>
            <w:color w:val="0000EE"/>
            <w:u w:val="single"/>
          </w:rPr>
          <w:t>Ga 5.14</w:t>
        </w:r>
      </w:hyperlink>
      <w:r>
        <w:rPr>
          <w:lang w:val="fr_FR" w:bidi="fr_FR"/>
        </w:rPr>
        <w:t xml:space="preserve"> ; </w:t>
      </w:r>
      <w:hyperlink r:id="rId71">
        <w:r>
          <w:rPr>
            <w:lang w:val="fr_FR" w:bidi="fr_FR"/>
          </w:rPr>
          <w:rPr>
            <w:color w:val="0000EE"/>
            <w:u w:val="single"/>
          </w:rPr>
          <w:t>Jc 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