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2"/>
      </w:pPr>
      <w:r>
        <w:rPr>
          <w:lang w:val="fr_FR" w:bidi="fr_FR"/>
        </w:rPr>
        <w:t>Contexte</w:t>
      </w:r>
    </w:p>
    <w:p>
      <w:pPr/>
      <w:r>
        <w:rPr>
          <w:lang w:val="fr_FR" w:bidi="fr_FR"/>
        </w:rPr>
      </w:r>
      <w:r>
        <w:rPr>
          <w:lang w:val="fr_FR" w:bidi="fr_FR"/>
        </w:rP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pPr/>
      <w:r>
        <w:rPr>
          <w:lang w:val="fr_FR" w:bidi="fr_FR"/>
        </w:rPr>
      </w:r>
      <w:r>
        <w:rPr>
          <w:lang w:val="fr_FR" w:bidi="fr_FR"/>
        </w:rP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2"/>
      </w:pPr>
      <w:r>
        <w:rPr>
          <w:lang w:val="fr_FR" w:bidi="fr_FR"/>
        </w:rPr>
        <w:t>Résumé</w:t>
      </w:r>
    </w:p>
    <w:p>
      <w:pPr/>
      <w:r>
        <w:rPr>
          <w:lang w:val="fr_FR" w:bidi="fr_FR"/>
        </w:rPr>
      </w:r>
      <w:r>
        <w:rPr>
          <w:lang w:val="fr_FR" w:bidi="fr_FR"/>
        </w:rPr>
        <w:t>Le livre des Nombres se structure autour des trois grandes étapes du voyage d’Israël à travers le désert : (1) les dix-neuf jours de préparation avant de quitter le mont Sinaï (</w:t>
      </w:r>
      <w:hyperlink r:id="rId13">
        <w:r>
          <w:rPr>
            <w:lang w:val="fr_FR" w:bidi="fr_FR"/>
          </w:rPr>
          <w:rPr>
            <w:color w:val="0000EE"/>
            <w:u w:val="single"/>
          </w:rPr>
          <w:t>1.1–10.10</w:t>
        </w:r>
      </w:hyperlink>
      <w:r>
        <w:rPr>
          <w:lang w:val="fr_FR" w:bidi="fr_FR"/>
        </w:rPr>
        <w:t>), (2) les trente-neuf ans de marche du Sinaï aux plaines de Moab (</w:t>
      </w:r>
      <w:hyperlink r:id="rId14">
        <w:r>
          <w:rPr>
            <w:lang w:val="fr_FR" w:bidi="fr_FR"/>
          </w:rPr>
          <w:rPr>
            <w:color w:val="0000EE"/>
            <w:u w:val="single"/>
          </w:rPr>
          <w:t>10.11–22.1</w:t>
        </w:r>
      </w:hyperlink>
      <w:r>
        <w:rPr>
          <w:lang w:val="fr_FR" w:bidi="fr_FR"/>
        </w:rPr>
        <w:t>), et (3) les derniers mois passés par Israël dans les plaines de Moab, juste avant leur entrée en Canaan (</w:t>
      </w:r>
      <w:hyperlink r:id="rId15">
        <w:r>
          <w:rPr>
            <w:lang w:val="fr_FR" w:bidi="fr_FR"/>
          </w:rPr>
          <w:rPr>
            <w:color w:val="0000EE"/>
            <w:u w:val="single"/>
          </w:rPr>
          <w:t>21.1–36.13</w:t>
        </w:r>
      </w:hyperlink>
      <w:r>
        <w:rPr>
          <w:lang w:val="fr_FR" w:bidi="fr_FR"/>
        </w:rPr>
        <w:t>).</w:t>
      </w:r>
    </w:p>
    <w:p>
      <w:pPr/>
      <w:r>
        <w:rPr>
          <w:lang w:val="fr_FR" w:bidi="fr_FR"/>
        </w:rPr>
      </w:r>
      <w:r>
        <w:rPr>
          <w:lang w:val="fr_FR" w:bidi="fr_FR"/>
        </w:rPr>
        <w:t xml:space="preserve">Les deux recensements des hommes d’Israël en âge de combattre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pPr/>
      <w:r>
        <w:rPr>
          <w:lang w:val="fr_FR" w:bidi="fr_FR"/>
        </w:rPr>
      </w:r>
      <w:r>
        <w:rPr>
          <w:lang w:val="fr_FR" w:bidi="fr_FR"/>
        </w:rPr>
        <w:t xml:space="preserve">En chemin, les Hébreux qui ont quitté l’Égypte se sont rebellés à plusieurs reprises (chapitres </w:t>
      </w:r>
      <w:hyperlink r:id="rId18">
        <w:r>
          <w:rPr>
            <w:lang w:val="fr_FR" w:bidi="fr_FR"/>
          </w:rPr>
          <w:rPr>
            <w:color w:val="0000EE"/>
            <w:u w:val="single"/>
          </w:rPr>
          <w:t>11</w:t>
        </w:r>
      </w:hyperlink>
      <w:r>
        <w:rPr>
          <w:lang w:val="fr_FR" w:bidi="fr_FR"/>
        </w:rPr>
        <w:t xml:space="preserve">, </w:t>
      </w:r>
      <w:hyperlink r:id="rId19">
        <w:r>
          <w:rPr>
            <w:lang w:val="fr_FR" w:bidi="fr_FR"/>
          </w:rPr>
          <w:rPr>
            <w:color w:val="0000EE"/>
            <w:u w:val="single"/>
          </w:rPr>
          <w:t>12</w:t>
        </w:r>
      </w:hyperlink>
      <w:r>
        <w:rPr>
          <w:lang w:val="fr_FR" w:bidi="fr_FR"/>
        </w:rPr>
        <w:t xml:space="preserve">, </w:t>
      </w:r>
      <w:hyperlink r:id="rId20">
        <w:r>
          <w:rPr>
            <w:lang w:val="fr_FR" w:bidi="fr_FR"/>
          </w:rPr>
          <w:rPr>
            <w:color w:val="0000EE"/>
            <w:u w:val="single"/>
          </w:rPr>
          <w:t>14</w:t>
        </w:r>
      </w:hyperlink>
      <w:r>
        <w:rPr>
          <w:lang w:val="fr_FR" w:bidi="fr_FR"/>
        </w:rPr>
        <w:t xml:space="preserve">, </w:t>
      </w:r>
      <w:hyperlink r:id="rId21">
        <w:r>
          <w:rPr>
            <w:lang w:val="fr_FR" w:bidi="fr_FR"/>
          </w:rPr>
          <w:rPr>
            <w:color w:val="0000EE"/>
            <w:u w:val="single"/>
          </w:rPr>
          <w:t>16–17</w:t>
        </w:r>
      </w:hyperlink>
      <w:r>
        <w:rPr>
          <w:lang w:val="fr_FR" w:bidi="fr_FR"/>
        </w:rPr>
        <w:t xml:space="preserve">, </w:t>
      </w:r>
      <w:hyperlink r:id="rId22">
        <w:r>
          <w:rPr>
            <w:lang w:val="fr_FR" w:bidi="fr_FR"/>
          </w:rPr>
          <w:rPr>
            <w:color w:val="0000EE"/>
            <w:u w:val="single"/>
          </w:rPr>
          <w:t>20</w:t>
        </w:r>
      </w:hyperlink>
      <w:r>
        <w:rPr>
          <w:lang w:val="fr_FR" w:bidi="fr_FR"/>
        </w:rPr>
        <w:t xml:space="preserve">, </w:t>
      </w:r>
      <w:hyperlink r:id="rId23">
        <w:r>
          <w:rPr>
            <w:lang w:val="fr_FR" w:bidi="fr_FR"/>
          </w:rPr>
          <w:rPr>
            <w:color w:val="0000EE"/>
            <w:u w:val="single"/>
          </w:rPr>
          <w:t>25</w:t>
        </w:r>
      </w:hyperlink>
      <w:r>
        <w:rPr>
          <w:lang w:val="fr_FR" w:bidi="fr_FR"/>
        </w:rPr>
        <w:t>). Ils sont tous morts dans le désert, sauf Josué et Caleb, dont la foi était exemplaire (</w:t>
      </w:r>
      <w:hyperlink r:id="rId24">
        <w:r>
          <w:rPr>
            <w:lang w:val="fr_FR" w:bidi="fr_FR"/>
          </w:rPr>
          <w:rPr>
            <w:color w:val="0000EE"/>
            <w:u w:val="single"/>
          </w:rPr>
          <w:t>13.30</w:t>
        </w:r>
      </w:hyperlink>
      <w:r>
        <w:rPr>
          <w:lang w:val="fr_FR" w:bidi="fr_FR"/>
        </w:rPr>
        <w:t xml:space="preserve"> ; </w:t>
      </w:r>
      <w:hyperlink r:id="rId25">
        <w:r>
          <w:rPr>
            <w:lang w:val="fr_FR" w:bidi="fr_FR"/>
          </w:rPr>
          <w:rPr>
            <w:color w:val="0000EE"/>
            <w:u w:val="single"/>
          </w:rPr>
          <w:t>14.6–9</w:t>
        </w:r>
      </w:hyperlink>
      <w:r>
        <w:rPr>
          <w:lang w:val="fr_FR" w:bidi="fr_FR"/>
        </w:rPr>
        <w:t>).</w:t>
      </w:r>
    </w:p>
    <w:p>
      <w:pPr/>
      <w:r>
        <w:rPr>
          <w:lang w:val="fr_FR" w:bidi="fr_FR"/>
        </w:rPr>
      </w:r>
      <w:r>
        <w:rPr>
          <w:lang w:val="fr_FR" w:bidi="fr_FR"/>
        </w:rPr>
        <w:t xml:space="preserve">L’armée d’Israël est mise à l’épreuve à plusieurs reprises avant d’entrer en Canaan (chapitres </w:t>
      </w:r>
      <w:hyperlink r:id="rId20">
        <w:r>
          <w:rPr>
            <w:lang w:val="fr_FR" w:bidi="fr_FR"/>
          </w:rPr>
          <w:rPr>
            <w:color w:val="0000EE"/>
            <w:u w:val="single"/>
          </w:rPr>
          <w:t>14</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31</w:t>
        </w:r>
      </w:hyperlink>
      <w:r>
        <w:rPr>
          <w:lang w:val="fr_FR" w:bidi="fr_FR"/>
        </w:rPr>
        <w:t xml:space="preserve">), tandis que l’histoire de Balaam est racontée (chapitres </w:t>
      </w:r>
      <w:hyperlink r:id="rId28">
        <w:r>
          <w:rPr>
            <w:lang w:val="fr_FR" w:bidi="fr_FR"/>
          </w:rPr>
          <w:rPr>
            <w:color w:val="0000EE"/>
            <w:u w:val="single"/>
          </w:rPr>
          <w:t>22–24</w:t>
        </w:r>
      </w:hyperlink>
      <w:r>
        <w:rPr>
          <w:lang w:val="fr_FR" w:bidi="fr_FR"/>
        </w:rPr>
        <w:t xml:space="preserve">). Des dispositions sont prises pour l’installation en Transjordanie (chapitres </w:t>
      </w:r>
      <w:hyperlink r:id="rId29">
        <w:r>
          <w:rPr>
            <w:lang w:val="fr_FR" w:bidi="fr_FR"/>
          </w:rPr>
          <w:rPr>
            <w:color w:val="0000EE"/>
            <w:u w:val="single"/>
          </w:rPr>
          <w:t>32</w:t>
        </w:r>
      </w:hyperlink>
      <w:r>
        <w:rPr>
          <w:lang w:val="fr_FR" w:bidi="fr_FR"/>
        </w:rPr>
        <w:t xml:space="preserve">), le voyage dans le désert fait l’objet d’un récapitulatif (chapitres </w:t>
      </w:r>
      <w:hyperlink r:id="rId30">
        <w:r>
          <w:rPr>
            <w:lang w:val="fr_FR" w:bidi="fr_FR"/>
          </w:rPr>
          <w:rPr>
            <w:color w:val="0000EE"/>
            <w:u w:val="single"/>
          </w:rPr>
          <w:t>33</w:t>
        </w:r>
      </w:hyperlink>
      <w:r>
        <w:rPr>
          <w:lang w:val="fr_FR" w:bidi="fr_FR"/>
        </w:rPr>
        <w:t xml:space="preserve">), et Moïse prépare l’occupation de Canaan (chapitres </w:t>
      </w:r>
      <w:hyperlink r:id="rId31">
        <w:r>
          <w:rPr>
            <w:lang w:val="fr_FR" w:bidi="fr_FR"/>
          </w:rPr>
          <w:rPr>
            <w:color w:val="0000EE"/>
            <w:u w:val="single"/>
          </w:rPr>
          <w:t>34–36</w:t>
        </w:r>
      </w:hyperlink>
      <w:r>
        <w:rPr>
          <w:lang w:val="fr_FR" w:bidi="fr_FR"/>
        </w:rPr>
        <w:t>).</w:t>
      </w:r>
    </w:p>
    <w:p>
      <w:pPr/>
      <w:r>
        <w:rPr>
          <w:lang w:val="fr_FR" w:bidi="fr_FR"/>
        </w:rPr>
      </w:r>
      <w:r>
        <w:rPr>
          <w:lang w:val="fr_FR" w:bidi="fr_FR"/>
        </w:rPr>
        <w:t>Les Nombres offrent une étude de cas sur la manière dont Israël a respecté, ou échoué à respecter, les principes de l’alliance dans sa vie quotidienne.</w:t>
      </w:r>
    </w:p>
    <w:p>
      <w:pPr>
        <w:pStyle w:val="Heading2"/>
      </w:pPr>
      <w:r>
        <w:rPr>
          <w:lang w:val="fr_FR" w:bidi="fr_FR"/>
        </w:rPr>
        <w:t>Auteur</w:t>
      </w:r>
    </w:p>
    <w:p>
      <w:pPr/>
      <w:r>
        <w:rPr>
          <w:lang w:val="fr_FR" w:bidi="fr_FR"/>
        </w:rPr>
      </w:r>
      <w:r>
        <w:rPr>
          <w:lang w:val="fr_FR" w:bidi="fr_FR"/>
        </w:rP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hyperlink r:id="rId32">
        <w:r>
          <w:rPr>
            <w:lang w:val="fr_FR" w:bidi="fr_FR"/>
          </w:rPr>
          <w:rPr>
            <w:color w:val="0000EE"/>
            <w:u w:val="single"/>
          </w:rPr>
          <w:t>Nb 33.1–2</w:t>
        </w:r>
      </w:hyperlink>
      <w:r>
        <w:rPr>
          <w:lang w:val="fr_FR" w:bidi="fr_FR"/>
        </w:rPr>
        <w:t>). Il n’y a aucune raison de rejeter a priori Moïse en tant qu’auteur principal, en se basant sur le contenu ou le niveau d’alphabétisation de l’époque de l’Exode et de la conquête, à l’exception de certains passages, comme celui relatant sa mort (</w:t>
      </w:r>
      <w:hyperlink r:id="rId33">
        <w:r>
          <w:rPr>
            <w:lang w:val="fr_FR" w:bidi="fr_FR"/>
          </w:rPr>
          <w:rPr>
            <w:color w:val="0000EE"/>
            <w:u w:val="single"/>
          </w:rPr>
          <w:t>Dt 34</w:t>
        </w:r>
      </w:hyperlink>
      <w:r>
        <w:rPr>
          <w:lang w:val="fr_FR" w:bidi="fr_FR"/>
        </w:rPr>
        <w:t>). Il est également possible que Moïse ait supervisé la compilation des livres qui lui sont attribués, ou qu’il ait, à l’instar de l’apôtre Paul, dicté certaines parties de ses écrits.</w:t>
      </w:r>
    </w:p>
    <w:p>
      <w:pPr/>
      <w:r>
        <w:rPr>
          <w:lang w:val="fr_FR" w:bidi="fr_FR"/>
        </w:rPr>
      </w:r>
      <w:r>
        <w:rPr>
          <w:lang w:val="fr_FR" w:bidi="fr_FR"/>
        </w:rPr>
        <w:t xml:space="preserve">De nombreux érudits postulent l’existence de diverses sources ayant été utilisées par des éditeurs ultérieurs pour composer les livres du Pentateuque, mais cette « hypothèse documentaire » demeure spéculative (voir </w:t>
      </w:r>
      <w:r>
        <w:rPr>
          <w:lang w:val="fr_FR" w:bidi="fr_FR"/>
        </w:rPr>
        <w:t>Introduction au Livre de la Genèse,</w:t>
      </w:r>
      <w:r>
        <w:rPr>
          <w:lang w:val="fr_FR" w:bidi="fr_FR"/>
        </w:rPr>
        <w:t xml:space="preserve"> « Auteur »). Même en tenant compte des modifications ultérieures apportées par les scribes et les éditeurs, le livre des Nombres demeure fondamentalement l’œuvre de Moïse.</w:t>
      </w:r>
    </w:p>
    <w:p>
      <w:pPr>
        <w:pStyle w:val="Heading2"/>
      </w:pPr>
      <w:r>
        <w:rPr>
          <w:lang w:val="fr_FR" w:bidi="fr_FR"/>
        </w:rPr>
        <w:t>Date et cadre géographique</w:t>
      </w:r>
    </w:p>
    <w:p>
      <w:pPr/>
      <w:r>
        <w:rPr>
          <w:lang w:val="fr_FR" w:bidi="fr_FR"/>
        </w:rPr>
      </w:r>
      <w:r>
        <w:rPr>
          <w:lang w:val="fr_FR" w:bidi="fr_FR"/>
        </w:rPr>
        <w:t xml:space="preserve">Les données géographiques, culturelles et linguistiques relatives au livre des Nombres permettent d’attribuer à l’Exode et à la conquête une date précoce ou tardive </w:t>
      </w:r>
      <w:r>
        <w:rPr>
          <w:lang w:val="fr_FR" w:bidi="fr_FR"/>
        </w:rPr>
        <w:t xml:space="preserve">(1 400 ou 1 200 avant J.‑C.) (voir </w:t>
      </w:r>
      <w:r>
        <w:rPr>
          <w:lang w:val="fr_FR" w:bidi="fr_FR"/>
        </w:rPr>
        <w:t>Introduction au Livre de l’Exode</w:t>
      </w:r>
      <w:r>
        <w:rPr>
          <w:lang w:val="fr_FR" w:bidi="fr_FR"/>
        </w:rPr>
        <w:t>, « La Date de l’Exode »).</w:t>
      </w:r>
    </w:p>
    <w:p>
      <w:pPr/>
      <w:r>
        <w:rPr>
          <w:lang w:val="fr_FR" w:bidi="fr_FR"/>
        </w:rPr>
      </w:r>
      <w:r>
        <w:rPr>
          <w:lang w:val="fr_FR" w:bidi="fr_FR"/>
        </w:rP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2"/>
      </w:pPr>
      <w:r>
        <w:rPr>
          <w:lang w:val="fr_FR" w:bidi="fr_FR"/>
        </w:rPr>
        <w:t>Questions littéraires</w:t>
      </w:r>
    </w:p>
    <w:p>
      <w:pPr/>
      <w:r>
        <w:rPr>
          <w:lang w:val="fr_FR" w:bidi="fr_FR"/>
        </w:rPr>
      </w:r>
      <w:r>
        <w:rPr>
          <w:lang w:val="fr_FR" w:bidi="fr_FR"/>
        </w:rPr>
        <w:t xml:space="preserve">Titre du Livre. Le nom « Nombres » provient de l’intérêt que porte ce livre aux statistiques (voir chapitres </w:t>
      </w:r>
      <w:hyperlink r:id="rId16">
        <w:r>
          <w:rPr>
            <w:lang w:val="fr_FR" w:bidi="fr_FR"/>
          </w:rPr>
          <w:rPr>
            <w:color w:val="0000EE"/>
            <w:u w:val="single"/>
          </w:rPr>
          <w:t>1–4</w:t>
        </w:r>
      </w:hyperlink>
      <w:r>
        <w:rPr>
          <w:lang w:val="fr_FR" w:bidi="fr_FR"/>
        </w:rPr>
        <w:t xml:space="preserve">, </w:t>
      </w:r>
      <w:hyperlink r:id="rId17">
        <w:r>
          <w:rPr>
            <w:lang w:val="fr_FR" w:bidi="fr_FR"/>
          </w:rPr>
          <w:rPr>
            <w:color w:val="0000EE"/>
            <w:u w:val="single"/>
          </w:rPr>
          <w:t>26</w:t>
        </w:r>
      </w:hyperlink>
      <w:r>
        <w:rPr>
          <w:lang w:val="fr_FR" w:bidi="fr_FR"/>
        </w:rPr>
        <w:t xml:space="preserve">). Ce titre est la traduction française du titre latin </w:t>
      </w:r>
      <w:r>
        <w:rPr>
          <w:i/>
          <w:lang w:val="fr_FR" w:bidi="fr_FR"/>
        </w:rPr>
        <w:t>Numeri</w:t>
      </w:r>
      <w:r>
        <w:rPr>
          <w:lang w:val="fr_FR" w:bidi="fr_FR"/>
        </w:rPr>
        <w:t xml:space="preserve"> et du grec </w:t>
      </w:r>
      <w:r>
        <w:rPr>
          <w:i/>
          <w:lang w:val="fr_FR" w:bidi="fr_FR"/>
        </w:rPr>
        <w:t>Arithmoi</w:t>
      </w:r>
      <w:r>
        <w:rPr>
          <w:lang w:val="fr_FR" w:bidi="fr_FR"/>
        </w:rP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lang w:val="fr_FR" w:bidi="fr_FR"/>
        </w:rPr>
        <w:t>Bemidbar</w:t>
      </w:r>
      <w:r>
        <w:rPr>
          <w:lang w:val="fr_FR" w:bidi="fr_FR"/>
        </w:rPr>
        <w:t xml:space="preserve"> (« dans le désert »), le quatrième mot du verset </w:t>
      </w:r>
      <w:hyperlink r:id="rId34">
        <w:r>
          <w:rPr>
            <w:lang w:val="fr_FR" w:bidi="fr_FR"/>
          </w:rPr>
          <w:rPr>
            <w:color w:val="0000EE"/>
            <w:u w:val="single"/>
          </w:rPr>
          <w:t>Nb 1.1</w:t>
        </w:r>
      </w:hyperlink>
      <w:r>
        <w:rPr>
          <w:lang w:val="fr_FR" w:bidi="fr_FR"/>
        </w:rPr>
        <w:t xml:space="preserve"> du texte hébreu. Ce titre est parfaitement approprié, car il reflète à la fois le contexte géographique et le cadre chronologique du livre. </w:t>
      </w:r>
    </w:p>
    <w:p>
      <w:pPr/>
      <w:r>
        <w:rPr>
          <w:lang w:val="fr_FR" w:bidi="fr_FR"/>
        </w:rPr>
      </w:r>
      <w:r>
        <w:rPr>
          <w:lang w:val="fr_FR" w:bidi="fr_FR"/>
        </w:rPr>
        <w:t xml:space="preserve">Genres littéraires. Le livre des Nombres présente une variété de genres littéraires typiques, tels que le récit (par exemple, </w:t>
      </w:r>
      <w:hyperlink r:id="rId35">
        <w:r>
          <w:rPr>
            <w:lang w:val="fr_FR" w:bidi="fr_FR"/>
          </w:rPr>
          <w:rPr>
            <w:color w:val="0000EE"/>
            <w:u w:val="single"/>
          </w:rPr>
          <w:t>10.11–14.45</w:t>
        </w:r>
      </w:hyperlink>
      <w:r>
        <w:rPr>
          <w:lang w:val="fr_FR" w:bidi="fr_FR"/>
        </w:rPr>
        <w:t xml:space="preserve">), la poésie (par exemple, chapitres </w:t>
      </w:r>
      <w:hyperlink r:id="rId36">
        <w:r>
          <w:rPr>
            <w:lang w:val="fr_FR" w:bidi="fr_FR"/>
          </w:rPr>
          <w:rPr>
            <w:color w:val="0000EE"/>
            <w:u w:val="single"/>
          </w:rPr>
          <w:t>23–24</w:t>
        </w:r>
      </w:hyperlink>
      <w:r>
        <w:rPr>
          <w:lang w:val="fr_FR" w:bidi="fr_FR"/>
        </w:rPr>
        <w:t xml:space="preserve">), et la loi (par exemple, chapitres </w:t>
      </w:r>
      <w:hyperlink r:id="rId37">
        <w:r>
          <w:rPr>
            <w:lang w:val="fr_FR" w:bidi="fr_FR"/>
          </w:rPr>
          <w:rPr>
            <w:color w:val="0000EE"/>
            <w:u w:val="single"/>
          </w:rPr>
          <w:t>4–6</w:t>
        </w:r>
      </w:hyperlink>
      <w:r>
        <w:rPr>
          <w:lang w:val="fr_FR" w:bidi="fr_FR"/>
        </w:rPr>
        <w:t xml:space="preserve">). Il contient également des listes détaillées de faits et de chiffres, comme les recensements (par exemple, chapitres </w:t>
      </w:r>
      <w:hyperlink r:id="rId16">
        <w:r>
          <w:rPr>
            <w:lang w:val="fr_FR" w:bidi="fr_FR"/>
          </w:rPr>
          <w:rPr>
            <w:color w:val="0000EE"/>
            <w:u w:val="single"/>
          </w:rPr>
          <w:t>1–4</w:t>
        </w:r>
      </w:hyperlink>
      <w:r>
        <w:rPr>
          <w:lang w:val="fr_FR" w:bidi="fr_FR"/>
        </w:rPr>
        <w:t xml:space="preserve">), les offrandes (par exemple, chapitres </w:t>
      </w:r>
      <w:hyperlink r:id="rId38">
        <w:r>
          <w:rPr>
            <w:lang w:val="fr_FR" w:bidi="fr_FR"/>
          </w:rPr>
          <w:rPr>
            <w:color w:val="0000EE"/>
            <w:u w:val="single"/>
          </w:rPr>
          <w:t>7</w:t>
        </w:r>
      </w:hyperlink>
      <w:r>
        <w:rPr>
          <w:lang w:val="fr_FR" w:bidi="fr_FR"/>
        </w:rPr>
        <w:t xml:space="preserve">), et les itinéraires de voyage (par exemple, chapitres </w:t>
      </w:r>
      <w:hyperlink r:id="rId30">
        <w:r>
          <w:rPr>
            <w:lang w:val="fr_FR" w:bidi="fr_FR"/>
          </w:rPr>
          <w:rPr>
            <w:color w:val="0000EE"/>
            <w:u w:val="single"/>
          </w:rPr>
          <w:t>33</w:t>
        </w:r>
      </w:hyperlink>
      <w:r>
        <w:rPr>
          <w:lang w:val="fr_FR" w:bidi="fr_FR"/>
        </w:rPr>
        <w:t xml:space="preserve">). Dans la nouvelle traduction anglaise de la Bible, plusieurs de ces listes sont regroupées sous forme de tableaux concis, présentant des noms et des chiffres (chapitres </w:t>
      </w:r>
      <w:hyperlink r:id="rId39">
        <w:r>
          <w:rPr>
            <w:lang w:val="fr_FR" w:bidi="fr_FR"/>
          </w:rPr>
          <w:rPr>
            <w:color w:val="0000EE"/>
            <w:u w:val="single"/>
          </w:rPr>
          <w:t>1–2</w:t>
        </w:r>
      </w:hyperlink>
      <w:r>
        <w:rPr>
          <w:lang w:val="fr_FR" w:bidi="fr_FR"/>
        </w:rPr>
        <w:t xml:space="preserve"> ; </w:t>
      </w:r>
      <w:hyperlink r:id="rId40">
        <w:r>
          <w:rPr>
            <w:lang w:val="fr_FR" w:bidi="fr_FR"/>
          </w:rPr>
          <w:rPr>
            <w:color w:val="0000EE"/>
            <w:u w:val="single"/>
          </w:rPr>
          <w:t>13</w:t>
        </w:r>
      </w:hyperlink>
      <w:r>
        <w:rPr>
          <w:lang w:val="fr_FR" w:bidi="fr_FR"/>
        </w:rPr>
        <w:t xml:space="preserve">, </w:t>
      </w:r>
      <w:hyperlink r:id="rId41">
        <w:r>
          <w:rPr>
            <w:lang w:val="fr_FR" w:bidi="fr_FR"/>
          </w:rPr>
          <w:rPr>
            <w:color w:val="0000EE"/>
            <w:u w:val="single"/>
          </w:rPr>
          <w:t>34</w:t>
        </w:r>
      </w:hyperlink>
      <w:r>
        <w:rPr>
          <w:lang w:val="fr_FR" w:bidi="fr_FR"/>
        </w:rPr>
        <w:t>).</w:t>
      </w:r>
    </w:p>
    <w:p>
      <w:pPr/>
      <w:r>
        <w:rPr>
          <w:lang w:val="fr_FR" w:bidi="fr_FR"/>
        </w:rPr>
      </w:r>
      <w:r>
        <w:rPr>
          <w:lang w:val="fr_FR" w:bidi="fr_FR"/>
        </w:rPr>
        <w:t xml:space="preserve">Sources littéraires. La Bible hébraïque mentionne des sources anciennes que Moïse (et peut-être des éditeurs ultérieurs) a consultées, telles que </w:t>
      </w:r>
      <w:r>
        <w:rPr>
          <w:i/>
          <w:lang w:val="fr_FR" w:bidi="fr_FR"/>
        </w:rPr>
        <w:t xml:space="preserve">Le Livre des Guerres du </w:t>
      </w:r>
      <w:r>
        <w:rPr>
          <w:lang w:val="fr_FR" w:bidi="fr_FR"/>
        </w:rPr>
        <w:t>Seigneur (</w:t>
      </w:r>
      <w:hyperlink r:id="rId42">
        <w:r>
          <w:rPr>
            <w:lang w:val="fr_FR" w:bidi="fr_FR"/>
          </w:rPr>
          <w:rPr>
            <w:color w:val="0000EE"/>
            <w:u w:val="single"/>
          </w:rPr>
          <w:t>21.14–15</w:t>
        </w:r>
      </w:hyperlink>
      <w:r>
        <w:rPr>
          <w:lang w:val="fr_FR" w:bidi="fr_FR"/>
        </w:rPr>
        <w:t>), le « Chant du Puits » (</w:t>
      </w:r>
      <w:hyperlink r:id="rId43">
        <w:r>
          <w:rPr>
            <w:lang w:val="fr_FR" w:bidi="fr_FR"/>
          </w:rPr>
          <w:rPr>
            <w:color w:val="0000EE"/>
            <w:u w:val="single"/>
          </w:rPr>
          <w:t>21.17–18</w:t>
        </w:r>
      </w:hyperlink>
      <w:r>
        <w:rPr>
          <w:lang w:val="fr_FR" w:bidi="fr_FR"/>
        </w:rPr>
        <w:t>), et le « Chant de Hesbon » (</w:t>
      </w:r>
      <w:hyperlink r:id="rId44">
        <w:r>
          <w:rPr>
            <w:lang w:val="fr_FR" w:bidi="fr_FR"/>
          </w:rPr>
          <w:rPr>
            <w:color w:val="0000EE"/>
            <w:u w:val="single"/>
          </w:rPr>
          <w:t>21.27–30</w:t>
        </w:r>
      </w:hyperlink>
      <w:r>
        <w:rPr>
          <w:lang w:val="fr_FR" w:bidi="fr_FR"/>
        </w:rPr>
        <w:t xml:space="preserve">). Les chapitres </w:t>
      </w:r>
      <w:hyperlink r:id="rId36">
        <w:r>
          <w:rPr>
            <w:lang w:val="fr_FR" w:bidi="fr_FR"/>
          </w:rPr>
          <w:rPr>
            <w:color w:val="0000EE"/>
            <w:u w:val="single"/>
          </w:rPr>
          <w:t>23–24</w:t>
        </w:r>
      </w:hyperlink>
      <w:r>
        <w:rPr>
          <w:lang w:val="fr_FR" w:bidi="fr_FR"/>
        </w:rPr>
        <w:t xml:space="preserve"> contiennent de nombreux vers poétiques du prophète non israélite Balaam ; les versets </w:t>
      </w:r>
      <w:hyperlink r:id="rId45">
        <w:r>
          <w:rPr>
            <w:lang w:val="fr_FR" w:bidi="fr_FR"/>
          </w:rPr>
          <w:rPr>
            <w:color w:val="0000EE"/>
            <w:u w:val="single"/>
          </w:rPr>
          <w:t>31.32–47</w:t>
        </w:r>
      </w:hyperlink>
      <w:r>
        <w:rPr>
          <w:lang w:val="fr_FR" w:bidi="fr_FR"/>
        </w:rPr>
        <w:t xml:space="preserve"> semble être basé sur un rapport réel concernant les butins de guerre ; et le chapitre </w:t>
      </w:r>
      <w:hyperlink r:id="rId30">
        <w:r>
          <w:rPr>
            <w:lang w:val="fr_FR" w:bidi="fr_FR"/>
          </w:rPr>
          <w:rPr>
            <w:color w:val="0000EE"/>
            <w:u w:val="single"/>
          </w:rPr>
          <w:t>33</w:t>
        </w:r>
      </w:hyperlink>
      <w:r>
        <w:rPr>
          <w:lang w:val="fr_FR" w:bidi="fr_FR"/>
        </w:rPr>
        <w:t xml:space="preserve"> semble provenir d’un journal écrit.</w:t>
      </w:r>
    </w:p>
    <w:p>
      <w:pPr/>
      <w:r>
        <w:rPr>
          <w:lang w:val="fr_FR" w:bidi="fr_FR"/>
        </w:rPr>
      </w:r>
      <w:r>
        <w:rPr>
          <w:lang w:val="fr_FR" w:bidi="fr_FR"/>
        </w:rPr>
        <w:t xml:space="preserve">Texte. Le texte hébreu des Nombres est globalement bien préservé, à l’exception de certaines sections poétiques des chapitres </w:t>
      </w:r>
      <w:hyperlink r:id="rId46">
        <w:r>
          <w:rPr>
            <w:lang w:val="fr_FR" w:bidi="fr_FR"/>
          </w:rPr>
          <w:rPr>
            <w:color w:val="0000EE"/>
            <w:u w:val="single"/>
          </w:rPr>
          <w:t>21–24</w:t>
        </w:r>
      </w:hyperlink>
      <w:r>
        <w:rPr>
          <w:lang w:val="fr_FR" w:bidi="fr_FR"/>
        </w:rP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2"/>
      </w:pPr>
      <w:r>
        <w:rPr>
          <w:lang w:val="fr_FR" w:bidi="fr_FR"/>
        </w:rPr>
        <w:t>Signification et message</w:t>
      </w:r>
    </w:p>
    <w:p>
      <w:pPr/>
      <w:r>
        <w:rPr>
          <w:lang w:val="fr_FR" w:bidi="fr_FR"/>
        </w:rPr>
      </w:r>
      <w:r>
        <w:rPr>
          <w:lang w:val="fr_FR" w:bidi="fr_FR"/>
        </w:rP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pPr/>
      <w:r>
        <w:rPr>
          <w:lang w:val="fr_FR" w:bidi="fr_FR"/>
        </w:rPr>
      </w:r>
      <w:r>
        <w:rPr>
          <w:lang w:val="fr_FR" w:bidi="fr_FR"/>
        </w:rP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pPr/>
      <w:r>
        <w:rPr>
          <w:lang w:val="fr_FR" w:bidi="fr_FR"/>
        </w:rPr>
      </w:r>
      <w:r>
        <w:rPr>
          <w:lang w:val="fr_FR" w:bidi="fr_FR"/>
        </w:rP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Pr>
          <w:lang w:val="fr_FR" w:bidi="fr_FR"/>
        </w:rPr>
      </w:r>
      <w:r>
        <w:rPr>
          <w:lang w:val="fr_FR" w:bidi="fr_FR"/>
        </w:rPr>
        <w:t xml:space="preserve">Au verset </w:t>
      </w:r>
      <w:hyperlink r:id="rId47">
        <w:r>
          <w:rPr>
            <w:lang w:val="fr_FR" w:bidi="fr_FR"/>
          </w:rPr>
          <w:rPr>
            <w:color w:val="0000EE"/>
            <w:u w:val="single"/>
          </w:rPr>
          <w:t>1Co 10.1–11</w:t>
        </w:r>
      </w:hyperlink>
      <w:r>
        <w:rPr>
          <w:lang w:val="fr_FR" w:bidi="fr_FR"/>
        </w:rPr>
        <w:t>, l’apôtre Paul met en garde ses lecteurs contre l’idolâtrie, l’immoralité et les murmures afin qu’ils ne périssent pas comme les Israélites dans le désert. Dieu n’est pas satisfait de ce comportement, et les disciples du Christ ne doivent pas mettre Dieu à l’épreuve (</w:t>
      </w:r>
      <w:hyperlink r:id="rId48">
        <w:r>
          <w:rPr>
            <w:lang w:val="fr_FR" w:bidi="fr_FR"/>
          </w:rPr>
          <w:rPr>
            <w:color w:val="0000EE"/>
            <w:u w:val="single"/>
          </w:rPr>
          <w:t>1Co 10.9</w:t>
        </w:r>
      </w:hyperlink>
      <w:r>
        <w:rPr>
          <w:lang w:val="fr_FR" w:bidi="fr_FR"/>
        </w:rPr>
        <w:t>).</w:t>
      </w:r>
    </w:p>
    <w:p>
      <w:pPr>
        <w:pStyle w:val="ListBullet"/>
        <w:spacing w:line="240" w:lineRule="auto"/>
        <w:ind w:left="720"/>
      </w:pPr>
      <w:r>
        <w:rPr>
          <w:lang w:val="fr_FR" w:bidi="fr_FR"/>
        </w:rPr>
      </w:r>
      <w:r>
        <w:rPr>
          <w:lang w:val="fr_FR" w:bidi="fr_FR"/>
        </w:rPr>
        <w:t xml:space="preserve">L’auteur de l’épître aux Hébreux souligne </w:t>
      </w:r>
      <w:r>
        <w:rPr>
          <w:lang w:val="fr_FR" w:bidi="fr_FR"/>
        </w:rPr>
        <w:t xml:space="preserve">des exemples répétés de la dureté de cœur et de la désobéissance d’Israël </w:t>
      </w:r>
      <w:r>
        <w:rPr>
          <w:lang w:val="fr_FR" w:bidi="fr_FR"/>
        </w:rPr>
        <w:t>et dit que Dieu a répondu à cet égarement par une colère rapide et certaine (</w:t>
      </w:r>
      <w:hyperlink r:id="rId49">
        <w:r>
          <w:rPr>
            <w:lang w:val="fr_FR" w:bidi="fr_FR"/>
          </w:rPr>
          <w:rPr>
            <w:color w:val="0000EE"/>
            <w:u w:val="single"/>
          </w:rPr>
          <w:t>Hé 3.7–4.11</w:t>
        </w:r>
      </w:hyperlink>
      <w:r>
        <w:rPr>
          <w:lang w:val="fr_FR" w:bidi="fr_FR"/>
        </w:rPr>
        <w:t xml:space="preserve">). Ces versets, qui s’appuient fortement sur les mots du </w:t>
      </w:r>
      <w:hyperlink r:id="rId50">
        <w:r>
          <w:rPr>
            <w:lang w:val="fr_FR" w:bidi="fr_FR"/>
          </w:rPr>
          <w:rPr>
            <w:color w:val="0000EE"/>
            <w:u w:val="single"/>
          </w:rPr>
          <w:t>Psaume 95</w:t>
        </w:r>
      </w:hyperlink>
      <w:r>
        <w:rPr>
          <w:lang w:val="fr_FR" w:bidi="fr_FR"/>
        </w:rPr>
        <w:t>, sont imprégnés de termes qui reflètent le jugement de Dieu sur le péché d’Israël.</w:t>
      </w:r>
    </w:p>
    <w:p>
      <w:pPr>
        <w:pStyle w:val="ListBullet"/>
        <w:spacing w:line="240" w:lineRule="auto"/>
        <w:ind w:left="720"/>
      </w:pPr>
      <w:r>
        <w:rPr>
          <w:lang w:val="fr_FR" w:bidi="fr_FR"/>
        </w:rPr>
      </w:r>
      <w:r>
        <w:rPr>
          <w:lang w:val="fr_FR" w:bidi="fr_FR"/>
        </w:rPr>
        <w:t xml:space="preserve">Le verset </w:t>
      </w:r>
      <w:hyperlink r:id="rId51">
        <w:r>
          <w:rPr>
            <w:lang w:val="fr_FR" w:bidi="fr_FR"/>
          </w:rPr>
          <w:rPr>
            <w:color w:val="0000EE"/>
            <w:u w:val="single"/>
          </w:rPr>
          <w:t>Jd 1.5</w:t>
        </w:r>
      </w:hyperlink>
      <w:r>
        <w:rPr>
          <w:lang w:val="fr_FR" w:bidi="fr_FR"/>
        </w:rPr>
        <w:t xml:space="preserve"> enseigne aux chrétiens la fidélité en résumant le livre des Nombres.</w:t>
      </w:r>
    </w:p>
    <w:p>
      <w:pPr/>
      <w:r>
        <w:rPr>
          <w:lang w:val="fr_FR" w:bidi="fr_FR"/>
        </w:rPr>
      </w:r>
      <w:r>
        <w:rPr>
          <w:lang w:val="fr_FR" w:bidi="fr_FR"/>
        </w:rP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