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hyperlink r:id="rId13">
        <w:r>
          <w:rPr>
            <w:lang w:val="fr_FR" w:bidi="fr_FR"/>
          </w:rPr>
          <w:rPr>
            <w:color w:val="0000EE"/>
            <w:u w:val="single"/>
          </w:rPr>
          <w:t>Dn 5</w:t>
        </w:r>
      </w:hyperlink>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4">
        <w:r>
          <w:rPr>
            <w:lang w:val="fr_FR" w:bidi="fr_FR"/>
          </w:rPr>
          <w:rPr>
            <w:color w:val="0000EE"/>
            <w:u w:val="single"/>
          </w:rPr>
          <w:t>Dn 5.30–31</w:t>
        </w:r>
      </w:hyperlink>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hyperlink r:id="rId15">
        <w:r>
          <w:rPr>
            <w:lang w:val="fr_FR" w:bidi="fr_FR"/>
          </w:rPr>
          <w:rPr>
            <w:color w:val="0000EE"/>
            <w:u w:val="single"/>
          </w:rPr>
          <w:t>1Ch 1.1–9.44</w:t>
        </w:r>
      </w:hyperlink>
      <w:r>
        <w:rPr>
          <w:lang w:val="fr_FR" w:bidi="fr_FR"/>
        </w:rPr>
        <w:t>) ; d’autre part, la préparation de Jérusalem par David pour la construction du temple et le règne de Salomon (</w:t>
      </w:r>
      <w:hyperlink r:id="rId16">
        <w:r>
          <w:rPr>
            <w:lang w:val="fr_FR" w:bidi="fr_FR"/>
          </w:rPr>
          <w:rPr>
            <w:color w:val="0000EE"/>
            <w:u w:val="single"/>
          </w:rPr>
          <w:t>10.1–29.30</w:t>
        </w:r>
      </w:hyperlink>
      <w:r>
        <w:rPr>
          <w:lang w:val="fr_FR" w:bidi="fr_FR"/>
        </w:rPr>
        <w:t>).</w:t>
      </w:r>
    </w:p>
    <w:p>
      <w:pPr/>
      <w:r>
        <w:rPr>
          <w:lang w:val="fr_FR" w:bidi="fr_FR"/>
        </w:rPr>
      </w:r>
      <w:r>
        <w:rPr>
          <w:lang w:val="fr_FR" w:bidi="fr_FR"/>
        </w:rPr>
        <w:t xml:space="preserve">Le </w:t>
      </w:r>
      <w:hyperlink r:id="rId17">
        <w:r>
          <w:rPr>
            <w:lang w:val="fr_FR" w:bidi="fr_FR"/>
          </w:rPr>
          <w:rPr>
            <w:color w:val="0000EE"/>
            <w:u w:val="single"/>
          </w:rPr>
          <w:t xml:space="preserve">chap. 1 </w:t>
        </w:r>
      </w:hyperlink>
      <w:r>
        <w:rPr>
          <w:lang w:val="fr_FR" w:bidi="fr_FR"/>
        </w:rPr>
        <w:t xml:space="preserve">retrace la sélection divine d'individus spécifiques, d'Adam à Jacob ( Israël). </w:t>
      </w:r>
      <w:hyperlink r:id="rId18">
        <w:r>
          <w:rPr>
            <w:lang w:val="fr_FR" w:bidi="fr_FR"/>
          </w:rPr>
          <w:rPr>
            <w:color w:val="0000EE"/>
            <w:u w:val="single"/>
          </w:rPr>
          <w:t>Les chap. 2–8</w:t>
        </w:r>
      </w:hyperlink>
      <w:r>
        <w:rPr>
          <w:lang w:val="fr_FR" w:bidi="fr_FR"/>
        </w:rPr>
        <w:t xml:space="preserve"> concerne les Israélites de Jacob jusqu’à l’exil à Babylone. Cette section détaille d'abord la tribu de Juda (</w:t>
      </w:r>
      <w:hyperlink r:id="rId19">
        <w:r>
          <w:rPr>
            <w:lang w:val="fr_FR" w:bidi="fr_FR"/>
          </w:rPr>
          <w:rPr>
            <w:color w:val="0000EE"/>
            <w:u w:val="single"/>
          </w:rPr>
          <w:t>chap. 2–4</w:t>
        </w:r>
      </w:hyperlink>
      <w:r>
        <w:rPr>
          <w:lang w:val="fr_FR" w:bidi="fr_FR"/>
        </w:rPr>
        <w:t>), en discutant de la maison de David dans la section centrale (</w:t>
      </w:r>
      <w:hyperlink r:id="rId20">
        <w:r>
          <w:rPr>
            <w:lang w:val="fr_FR" w:bidi="fr_FR"/>
          </w:rPr>
          <w:rPr>
            <w:color w:val="0000EE"/>
            <w:u w:val="single"/>
          </w:rPr>
          <w:t>chap. 3</w:t>
        </w:r>
      </w:hyperlink>
      <w:r>
        <w:rPr>
          <w:lang w:val="fr_FR" w:bidi="fr_FR"/>
        </w:rPr>
        <w:t>), avant de décire les autres tribus d'Israël, y compris celles situées à l'est du Jourdain, en Transjordanie (</w:t>
      </w:r>
      <w:hyperlink r:id="rId21">
        <w:r>
          <w:rPr>
            <w:lang w:val="fr_FR" w:bidi="fr_FR"/>
          </w:rPr>
          <w:rPr>
            <w:color w:val="0000EE"/>
            <w:u w:val="single"/>
          </w:rPr>
          <w:t>chap. 5–7</w:t>
        </w:r>
      </w:hyperlink>
      <w:r>
        <w:rPr>
          <w:lang w:val="fr_FR" w:bidi="fr_FR"/>
        </w:rPr>
        <w:t>). Au milieu de ces généaologies est mentionnée Lévi, une tribu centrale (</w:t>
      </w:r>
      <w:hyperlink r:id="rId22">
        <w:r>
          <w:rPr>
            <w:lang w:val="fr_FR" w:bidi="fr_FR"/>
          </w:rPr>
          <w:rPr>
            <w:color w:val="0000EE"/>
            <w:u w:val="single"/>
          </w:rPr>
          <w:t>chap. 6</w:t>
        </w:r>
      </w:hyperlink>
      <w:r>
        <w:rPr>
          <w:lang w:val="fr_FR" w:bidi="fr_FR"/>
        </w:rPr>
        <w:t>), suivie de Benjamin (</w:t>
      </w:r>
      <w:hyperlink r:id="rId23">
        <w:r>
          <w:rPr>
            <w:lang w:val="fr_FR" w:bidi="fr_FR"/>
          </w:rPr>
          <w:rPr>
            <w:color w:val="0000EE"/>
            <w:u w:val="single"/>
          </w:rPr>
          <w:t>chap. 8</w:t>
        </w:r>
      </w:hyperlink>
      <w:r>
        <w:rPr>
          <w:lang w:val="fr_FR" w:bidi="fr_FR"/>
        </w:rPr>
        <w:t>). Les généalogies s’achèvent vers 400 av. J.‑C. avec une liste de chefs communautaires revenus d’exil et actifs dans la reconstruction de Jérusalem (</w:t>
      </w:r>
      <w:hyperlink r:id="rId24">
        <w:r>
          <w:rPr>
            <w:lang w:val="fr_FR" w:bidi="fr_FR"/>
          </w:rPr>
          <w:rPr>
            <w:color w:val="0000EE"/>
            <w:u w:val="single"/>
          </w:rPr>
          <w:t>chap. 9</w:t>
        </w:r>
      </w:hyperlink>
      <w:r>
        <w:rPr>
          <w:lang w:val="fr_FR" w:bidi="fr_FR"/>
        </w:rPr>
        <w:t>).</w:t>
      </w:r>
    </w:p>
    <w:p>
      <w:pPr/>
      <w:r>
        <w:rPr>
          <w:lang w:val="fr_FR" w:bidi="fr_FR"/>
        </w:rPr>
      </w:r>
      <w:r>
        <w:rPr>
          <w:lang w:val="fr_FR" w:bidi="fr_FR"/>
        </w:rPr>
        <w:t>La lignée de Saül (</w:t>
      </w:r>
      <w:hyperlink r:id="rId25">
        <w:r>
          <w:rPr>
            <w:lang w:val="fr_FR" w:bidi="fr_FR"/>
          </w:rPr>
          <w:rPr>
            <w:color w:val="0000EE"/>
            <w:u w:val="single"/>
          </w:rPr>
          <w:t>9.35–44</w:t>
        </w:r>
      </w:hyperlink>
      <w:r>
        <w:rPr>
          <w:lang w:val="fr_FR" w:bidi="fr_FR"/>
        </w:rPr>
        <w:t>) introduit la fondation de la monarchie. Après la mort de Saül à cause de son infidélité (</w:t>
      </w:r>
      <w:hyperlink r:id="rId26">
        <w:r>
          <w:rPr>
            <w:lang w:val="fr_FR" w:bidi="fr_FR"/>
          </w:rPr>
          <w:rPr>
            <w:color w:val="0000EE"/>
            <w:u w:val="single"/>
          </w:rPr>
          <w:t>10.1–14</w:t>
        </w:r>
      </w:hyperlink>
      <w:r>
        <w:rPr>
          <w:lang w:val="fr_FR" w:bidi="fr_FR"/>
        </w:rPr>
        <w:t>), David est devenu roi (</w:t>
      </w:r>
      <w:hyperlink r:id="rId27">
        <w:r>
          <w:rPr>
            <w:lang w:val="fr_FR" w:bidi="fr_FR"/>
          </w:rPr>
          <w:rPr>
            <w:color w:val="0000EE"/>
            <w:u w:val="single"/>
          </w:rPr>
          <w:t>11.1–12.40</w:t>
        </w:r>
      </w:hyperlink>
      <w:r>
        <w:rPr>
          <w:lang w:val="fr_FR" w:bidi="fr_FR"/>
        </w:rPr>
        <w:t>). Les chapitres suivants expliquent l'organisation de son administration et les préparatifs pour le temple (</w:t>
      </w:r>
      <w:hyperlink r:id="rId28">
        <w:r>
          <w:rPr>
            <w:lang w:val="fr_FR" w:bidi="fr_FR"/>
          </w:rPr>
          <w:rPr>
            <w:color w:val="0000EE"/>
            <w:u w:val="single"/>
          </w:rPr>
          <w:t>chap. 13–27</w:t>
        </w:r>
      </w:hyperlink>
      <w:r>
        <w:rPr>
          <w:lang w:val="fr_FR" w:bidi="fr_FR"/>
        </w:rPr>
        <w:t>). Le transfert de l’arche à Jérusalem (</w:t>
      </w:r>
      <w:hyperlink r:id="rId29">
        <w:r>
          <w:rPr>
            <w:lang w:val="fr_FR" w:bidi="fr_FR"/>
          </w:rPr>
          <w:rPr>
            <w:color w:val="0000EE"/>
            <w:u w:val="single"/>
          </w:rPr>
          <w:t>chap. 13–16</w:t>
        </w:r>
      </w:hyperlink>
      <w:r>
        <w:rPr>
          <w:lang w:val="fr_FR" w:bidi="fr_FR"/>
        </w:rPr>
        <w:t>) a marqué une étape clé dans l’établissement de son royaume. Le reste du livre décrit les étapes menant à la construction du temple : la désignation de celui qui allait bâtir le temple (</w:t>
      </w:r>
      <w:hyperlink r:id="rId30">
        <w:r>
          <w:rPr>
            <w:lang w:val="fr_FR" w:bidi="fr_FR"/>
          </w:rPr>
          <w:rPr>
            <w:color w:val="0000EE"/>
            <w:u w:val="single"/>
          </w:rPr>
          <w:t>chap. 17</w:t>
        </w:r>
      </w:hyperlink>
      <w:r>
        <w:rPr>
          <w:lang w:val="fr_FR" w:bidi="fr_FR"/>
        </w:rPr>
        <w:t>), les conditions politiques nécessaires (</w:t>
      </w:r>
      <w:hyperlink r:id="rId31">
        <w:r>
          <w:rPr>
            <w:lang w:val="fr_FR" w:bidi="fr_FR"/>
          </w:rPr>
          <w:rPr>
            <w:color w:val="0000EE"/>
            <w:u w:val="single"/>
          </w:rPr>
          <w:t>chap. 18–20</w:t>
        </w:r>
      </w:hyperlink>
      <w:r>
        <w:rPr>
          <w:lang w:val="fr_FR" w:bidi="fr_FR"/>
        </w:rPr>
        <w:t>), l'emplacement (</w:t>
      </w:r>
      <w:hyperlink r:id="rId32">
        <w:r>
          <w:rPr>
            <w:lang w:val="fr_FR" w:bidi="fr_FR"/>
          </w:rPr>
          <w:rPr>
            <w:color w:val="0000EE"/>
            <w:u w:val="single"/>
          </w:rPr>
          <w:t>chap. 21</w:t>
        </w:r>
      </w:hyperlink>
      <w:r>
        <w:rPr>
          <w:lang w:val="fr_FR" w:bidi="fr_FR"/>
        </w:rPr>
        <w:t>), le personnel (</w:t>
      </w:r>
      <w:hyperlink r:id="rId33">
        <w:r>
          <w:rPr>
            <w:lang w:val="fr_FR" w:bidi="fr_FR"/>
          </w:rPr>
          <w:rPr>
            <w:color w:val="0000EE"/>
            <w:u w:val="single"/>
          </w:rPr>
          <w:t>chap. 23–27</w:t>
        </w:r>
      </w:hyperlink>
      <w:r>
        <w:rPr>
          <w:lang w:val="fr_FR" w:bidi="fr_FR"/>
        </w:rPr>
        <w:t xml:space="preserve">), les matériaux et les plans (chap.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28–29</w:t>
        </w:r>
      </w:hyperlink>
      <w:r>
        <w:rPr>
          <w:lang w:val="fr_FR" w:bidi="fr_FR"/>
        </w:rPr>
        <w:t>). Le récit du règne de David se clôt par une grande assemblée et la désignation de Salomon comme roi de paix, chargé de construire le temple (</w:t>
      </w:r>
      <w:hyperlink r:id="rId35">
        <w:r>
          <w:rPr>
            <w:lang w:val="fr_FR" w:bidi="fr_FR"/>
          </w:rPr>
          <w:rPr>
            <w:color w:val="0000EE"/>
            <w:u w:val="single"/>
          </w:rPr>
          <w:t>chap. 28–29</w:t>
        </w:r>
      </w:hyperlink>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hyperlink r:id="rId36">
        <w:r>
          <w:rPr>
            <w:lang w:val="fr_FR" w:bidi="fr_FR"/>
          </w:rPr>
          <w:rPr>
            <w:color w:val="0000EE"/>
            <w:u w:val="single"/>
          </w:rPr>
          <w:t>3.17–24</w:t>
        </w:r>
      </w:hyperlink>
      <w:r>
        <w:rPr>
          <w:lang w:val="fr_FR" w:bidi="fr_FR"/>
        </w:rPr>
        <w:t>) suggère une date qui est huit générations après Zorobabel, qui a servi comme gouverneur vers 520 av. J.‑C., pendant les jours de Darius, roi de Perse (</w:t>
      </w:r>
      <w:hyperlink r:id="rId37">
        <w:r>
          <w:rPr>
            <w:lang w:val="fr_FR" w:bidi="fr_FR"/>
          </w:rPr>
          <w:rPr>
            <w:color w:val="0000EE"/>
            <w:u w:val="single"/>
          </w:rPr>
          <w:t>Za 1.1</w:t>
        </w:r>
      </w:hyperlink>
      <w:r>
        <w:rPr>
          <w:lang w:val="fr_FR" w:bidi="fr_FR"/>
        </w:rPr>
        <w:t xml:space="preserve"> ; </w:t>
      </w:r>
      <w:hyperlink r:id="rId38">
        <w:r>
          <w:rPr>
            <w:lang w:val="fr_FR" w:bidi="fr_FR"/>
          </w:rPr>
          <w:rPr>
            <w:color w:val="0000EE"/>
            <w:u w:val="single"/>
          </w:rPr>
          <w:t>4.9</w:t>
        </w:r>
      </w:hyperlink>
      <w:r>
        <w:rPr>
          <w:lang w:val="fr_FR" w:bidi="fr_FR"/>
        </w:rPr>
        <w:t xml:space="preserve">). Il a probablement rédigé son œuvre quelque temps après le voyage de Néhémie à Jérusalem pour réparer les murailles de la ville, dans la vingtième année d'Artaxerxès (445 av. J.‑C. ; </w:t>
      </w:r>
      <w:hyperlink r:id="rId39">
        <w:r>
          <w:rPr>
            <w:lang w:val="fr_FR" w:bidi="fr_FR"/>
          </w:rPr>
          <w:rPr>
            <w:color w:val="0000EE"/>
            <w:u w:val="single"/>
          </w:rPr>
          <w:t>Né 2.1</w:t>
        </w:r>
      </w:hyperlink>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0">
        <w:r>
          <w:rPr>
            <w:lang w:val="fr_FR" w:bidi="fr_FR"/>
          </w:rPr>
          <w:rPr>
            <w:color w:val="0000EE"/>
            <w:u w:val="single"/>
          </w:rPr>
          <w:t>Ml 2.14–16</w:t>
        </w:r>
      </w:hyperlink>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hyperlink r:id="rId30">
        <w:r>
          <w:rPr>
            <w:lang w:val="fr_FR" w:bidi="fr_FR"/>
          </w:rPr>
          <w:rPr>
            <w:color w:val="0000EE"/>
            <w:u w:val="single"/>
          </w:rPr>
          <w:t>17.1–27</w:t>
        </w:r>
      </w:hyperlink>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1">
        <w:r>
          <w:rPr>
            <w:lang w:val="fr_FR" w:bidi="fr_FR"/>
          </w:rPr>
          <w:rPr>
            <w:color w:val="0000EE"/>
            <w:u w:val="single"/>
          </w:rPr>
          <w:t xml:space="preserve">2S 7.11–14 </w:t>
        </w:r>
      </w:hyperlink>
      <w:r>
        <w:rPr>
          <w:lang w:val="fr_FR" w:bidi="fr_FR"/>
        </w:rPr>
        <w:t>;</w:t>
      </w:r>
      <w:r>
        <w:rPr>
          <w:i/>
          <w:lang w:val="fr_FR" w:bidi="fr_FR"/>
        </w:rPr>
        <w:t xml:space="preserve"> </w:t>
      </w:r>
      <w:hyperlink r:id="rId42">
        <w:r>
          <w:rPr>
            <w:lang w:val="fr_FR" w:bidi="fr_FR"/>
          </w:rPr>
          <w:rPr>
            <w:color w:val="0000EE"/>
            <w:u w:val="single"/>
          </w:rPr>
          <w:t>1Ch 17.10–14</w:t>
        </w:r>
      </w:hyperlink>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3">
        <w:r>
          <w:rPr>
            <w:lang w:val="fr_FR" w:bidi="fr_FR"/>
          </w:rPr>
          <w:rPr>
            <w:color w:val="0000EE"/>
            <w:u w:val="single"/>
          </w:rPr>
          <w:t>10.13</w:t>
        </w:r>
      </w:hyperlink>
      <w:r>
        <w:rPr>
          <w:lang w:val="fr_FR" w:bidi="fr_FR"/>
        </w:rPr>
        <w:t xml:space="preserve">). Les rois suivants ont perpétué cette même infidélité, cherchant secours auprès de puissances étrangères ou de dieux païens plutôt qu’en l’Éternel, leur rocher (voir </w:t>
      </w:r>
      <w:hyperlink r:id="rId44">
        <w:r>
          <w:rPr>
            <w:lang w:val="fr_FR" w:bidi="fr_FR"/>
          </w:rPr>
          <w:rPr>
            <w:color w:val="0000EE"/>
            <w:u w:val="single"/>
          </w:rPr>
          <w:t>Dt 32.4</w:t>
        </w:r>
      </w:hyperlink>
      <w:r>
        <w:rPr>
          <w:lang w:val="fr_FR" w:bidi="fr_FR"/>
        </w:rPr>
        <w:t xml:space="preserve">, </w:t>
      </w:r>
      <w:hyperlink r:id="rId45">
        <w:r>
          <w:rPr>
            <w:lang w:val="fr_FR" w:bidi="fr_FR"/>
          </w:rPr>
          <w:rPr>
            <w:color w:val="0000EE"/>
            <w:u w:val="single"/>
          </w:rPr>
          <w:t>15–39</w:t>
        </w:r>
      </w:hyperlink>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46">
        <w:r>
          <w:rPr>
            <w:lang w:val="fr_FR" w:bidi="fr_FR"/>
          </w:rPr>
          <w:rPr>
            <w:color w:val="0000EE"/>
            <w:u w:val="single"/>
          </w:rPr>
          <w:t>2Ch 7.14</w:t>
        </w:r>
      </w:hyperlink>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7">
        <w:r>
          <w:rPr>
            <w:lang w:val="fr_FR" w:bidi="fr_FR"/>
          </w:rPr>
          <w:rPr>
            <w:color w:val="0000EE"/>
            <w:u w:val="single"/>
          </w:rPr>
          <w:t>1Ch 9.3</w:t>
        </w:r>
      </w:hyperlink>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