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3">
        <w:r>
          <w:rPr>
            <w:lang w:val="fr_FR" w:bidi="fr_FR"/>
          </w:rPr>
          <w:rPr>
            <w:color w:val="0000EE"/>
            <w:u w:val="single"/>
          </w:rPr>
          <w:t>Marc 1:1</w:t>
        </w:r>
      </w:hyperlink>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4">
        <w:r>
          <w:rPr>
            <w:lang w:val="fr_FR" w:bidi="fr_FR"/>
          </w:rPr>
          <w:rPr>
            <w:color w:val="0000EE"/>
            <w:u w:val="single"/>
          </w:rPr>
          <w:t>Luc 1:2</w:t>
        </w:r>
      </w:hyperlink>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hyperlink r:id="rId15">
        <w:r>
          <w:rPr>
            <w:lang w:val="fr_FR" w:bidi="fr_FR"/>
          </w:rPr>
          <w:rPr>
            <w:color w:val="0000EE"/>
            <w:u w:val="single"/>
          </w:rPr>
          <w:t>10:1–52</w:t>
        </w:r>
      </w:hyperlink>
      <w:r>
        <w:rPr>
          <w:lang w:val="fr_FR" w:bidi="fr_FR"/>
        </w:rPr>
        <w:t>, Jésus et ses disciples voyagent de Galilée à Jérusalem, puis les derniers chapitres du livre (</w:t>
      </w:r>
      <w:hyperlink r:id="rId16">
        <w:r>
          <w:rPr>
            <w:lang w:val="fr_FR" w:bidi="fr_FR"/>
          </w:rPr>
          <w:rPr>
            <w:color w:val="0000EE"/>
            <w:u w:val="single"/>
          </w:rPr>
          <w:t>11:1–16:20</w:t>
        </w:r>
      </w:hyperlink>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hyperlink r:id="rId17">
        <w:r>
          <w:rPr>
            <w:lang w:val="fr_FR" w:bidi="fr_FR"/>
          </w:rPr>
          <w:rPr>
            <w:color w:val="0000EE"/>
            <w:u w:val="single"/>
          </w:rPr>
          <w:t>1:21–45</w:t>
        </w:r>
      </w:hyperlink>
      <w:r>
        <w:rPr>
          <w:lang w:val="fr_FR" w:bidi="fr_FR"/>
        </w:rPr>
        <w:t xml:space="preserve">; </w:t>
      </w:r>
      <w:hyperlink r:id="rId18">
        <w:r>
          <w:rPr>
            <w:lang w:val="fr_FR" w:bidi="fr_FR"/>
          </w:rPr>
          <w:rPr>
            <w:color w:val="0000EE"/>
            <w:u w:val="single"/>
          </w:rPr>
          <w:t>4:35–5:43</w:t>
        </w:r>
      </w:hyperlink>
      <w:r>
        <w:rPr>
          <w:lang w:val="fr_FR" w:bidi="fr_FR"/>
        </w:rPr>
        <w:t>), de controverses (</w:t>
      </w:r>
      <w:hyperlink r:id="rId19">
        <w:r>
          <w:rPr>
            <w:lang w:val="fr_FR" w:bidi="fr_FR"/>
          </w:rPr>
          <w:rPr>
            <w:color w:val="0000EE"/>
            <w:u w:val="single"/>
          </w:rPr>
          <w:t>2:1–3:6</w:t>
        </w:r>
      </w:hyperlink>
      <w:r>
        <w:rPr>
          <w:lang w:val="fr_FR" w:bidi="fr_FR"/>
        </w:rPr>
        <w:t xml:space="preserve">; </w:t>
      </w:r>
      <w:hyperlink r:id="rId20">
        <w:r>
          <w:rPr>
            <w:lang w:val="fr_FR" w:bidi="fr_FR"/>
          </w:rPr>
          <w:rPr>
            <w:color w:val="0000EE"/>
            <w:u w:val="single"/>
          </w:rPr>
          <w:t>12:13–37</w:t>
        </w:r>
      </w:hyperlink>
      <w:r>
        <w:rPr>
          <w:lang w:val="fr_FR" w:bidi="fr_FR"/>
        </w:rPr>
        <w:t>), de paraboles (</w:t>
      </w:r>
      <w:hyperlink r:id="rId21">
        <w:r>
          <w:rPr>
            <w:lang w:val="fr_FR" w:bidi="fr_FR"/>
          </w:rPr>
          <w:rPr>
            <w:color w:val="0000EE"/>
            <w:u w:val="single"/>
          </w:rPr>
          <w:t>4:1–34</w:t>
        </w:r>
      </w:hyperlink>
      <w:r>
        <w:rPr>
          <w:lang w:val="fr_FR" w:bidi="fr_FR"/>
        </w:rPr>
        <w:t>) et des enseignements à propos des temps de la fin (</w:t>
      </w:r>
      <w:hyperlink r:id="rId22">
        <w:r>
          <w:rPr>
            <w:lang w:val="fr_FR" w:bidi="fr_FR"/>
          </w:rPr>
          <w:rPr>
            <w:color w:val="0000EE"/>
            <w:u w:val="single"/>
          </w:rPr>
          <w:t>13:5–37</w:t>
        </w:r>
      </w:hyperlink>
      <w:r>
        <w:rPr>
          <w:lang w:val="fr_FR" w:bidi="fr_FR"/>
        </w:rPr>
        <w:t>). Certains éléments indiquent un ordre des événements : le ministère de Jésus commence par son baptême (</w:t>
      </w:r>
      <w:hyperlink r:id="rId23">
        <w:r>
          <w:rPr>
            <w:lang w:val="fr_FR" w:bidi="fr_FR"/>
          </w:rPr>
          <w:rPr>
            <w:color w:val="0000EE"/>
            <w:u w:val="single"/>
          </w:rPr>
          <w:t>1:2–11</w:t>
        </w:r>
      </w:hyperlink>
      <w:r>
        <w:rPr>
          <w:lang w:val="fr_FR" w:bidi="fr_FR"/>
        </w:rPr>
        <w:t xml:space="preserve">; voir </w:t>
      </w:r>
      <w:hyperlink r:id="rId24">
        <w:r>
          <w:rPr>
            <w:lang w:val="fr_FR" w:bidi="fr_FR"/>
          </w:rPr>
          <w:rPr>
            <w:color w:val="0000EE"/>
            <w:u w:val="single"/>
          </w:rPr>
          <w:t>Actes 1:22</w:t>
        </w:r>
      </w:hyperlink>
      <w:r>
        <w:rPr>
          <w:lang w:val="fr_FR" w:bidi="fr_FR"/>
        </w:rPr>
        <w:t xml:space="preserve">; </w:t>
      </w:r>
      <w:hyperlink r:id="rId25">
        <w:r>
          <w:rPr>
            <w:lang w:val="fr_FR" w:bidi="fr_FR"/>
          </w:rPr>
          <w:rPr>
            <w:color w:val="0000EE"/>
            <w:u w:val="single"/>
          </w:rPr>
          <w:t>10:37</w:t>
        </w:r>
      </w:hyperlink>
      <w:r>
        <w:rPr>
          <w:lang w:val="fr_FR" w:bidi="fr_FR"/>
        </w:rPr>
        <w:t>) et sa tentation (</w:t>
      </w:r>
      <w:hyperlink r:id="rId26">
        <w:r>
          <w:rPr>
            <w:lang w:val="fr_FR" w:bidi="fr_FR"/>
          </w:rPr>
          <w:rPr>
            <w:color w:val="0000EE"/>
            <w:u w:val="single"/>
          </w:rPr>
          <w:t>Marc 1:12–13</w:t>
        </w:r>
      </w:hyperlink>
      <w:r>
        <w:rPr>
          <w:lang w:val="fr_FR" w:bidi="fr_FR"/>
        </w:rPr>
        <w:t>), et se termine par sa souffrance, sa mort et sa résurrection (</w:t>
      </w:r>
      <w:hyperlink r:id="rId27">
        <w:r>
          <w:rPr>
            <w:lang w:val="fr_FR" w:bidi="fr_FR"/>
          </w:rPr>
          <w:rPr>
            <w:color w:val="0000EE"/>
            <w:u w:val="single"/>
          </w:rPr>
          <w:t>11:1–16:8</w:t>
        </w:r>
      </w:hyperlink>
      <w:r>
        <w:rPr>
          <w:lang w:val="fr_FR" w:bidi="fr_FR"/>
        </w:rPr>
        <w:t>). Certains récits individuels, comme la confession de Pierre à Césarée de Philippes (</w:t>
      </w:r>
      <w:hyperlink r:id="rId28">
        <w:r>
          <w:rPr>
            <w:lang w:val="fr_FR" w:bidi="fr_FR"/>
          </w:rPr>
          <w:rPr>
            <w:color w:val="0000EE"/>
            <w:u w:val="single"/>
          </w:rPr>
          <w:t>8:27–33</w:t>
        </w:r>
      </w:hyperlink>
      <w:r>
        <w:rPr>
          <w:lang w:val="fr_FR" w:bidi="fr_FR"/>
        </w:rPr>
        <w:t>) et la transfiguration de Jésus (</w:t>
      </w:r>
      <w:hyperlink r:id="rId29">
        <w:r>
          <w:rPr>
            <w:lang w:val="fr_FR" w:bidi="fr_FR"/>
          </w:rPr>
          <w:rPr>
            <w:color w:val="0000EE"/>
            <w:u w:val="single"/>
          </w:rPr>
          <w:t>9:1–13</w:t>
        </w:r>
      </w:hyperlink>
      <w:r>
        <w:rPr>
          <w:lang w:val="fr_FR" w:bidi="fr_FR"/>
        </w:rPr>
        <w:t xml:space="preserve">; voir aussi </w:t>
      </w:r>
      <w:hyperlink r:id="rId30">
        <w:r>
          <w:rPr>
            <w:lang w:val="fr_FR" w:bidi="fr_FR"/>
          </w:rPr>
          <w:rPr>
            <w:color w:val="0000EE"/>
            <w:u w:val="single"/>
          </w:rPr>
          <w:t>1:29</w:t>
        </w:r>
      </w:hyperlink>
      <w:r>
        <w:rPr>
          <w:lang w:val="fr_FR" w:bidi="fr_FR"/>
        </w:rPr>
        <w:t xml:space="preserve">, </w:t>
      </w:r>
      <w:hyperlink r:id="rId31">
        <w:r>
          <w:rPr>
            <w:lang w:val="fr_FR" w:bidi="fr_FR"/>
          </w:rPr>
          <w:rPr>
            <w:color w:val="0000EE"/>
            <w:u w:val="single"/>
          </w:rPr>
          <w:t>35</w:t>
        </w:r>
      </w:hyperlink>
      <w:r>
        <w:rPr>
          <w:lang w:val="fr_FR" w:bidi="fr_FR"/>
        </w:rPr>
        <w:t>).</w:t>
      </w:r>
    </w:p>
    <w:p>
      <w:pPr/>
      <w:r>
        <w:rPr>
          <w:lang w:val="fr_FR" w:bidi="fr_FR"/>
        </w:rPr>
      </w:r>
      <w:r>
        <w:rPr>
          <w:lang w:val="fr_FR" w:bidi="fr_FR"/>
        </w:rPr>
        <w:t xml:space="preserve">Le tournant principal du ministère de Jésus est mis en avant en </w:t>
      </w:r>
      <w:hyperlink r:id="rId28">
        <w:r>
          <w:rPr>
            <w:lang w:val="fr_FR" w:bidi="fr_FR"/>
          </w:rPr>
          <w:rPr>
            <w:color w:val="0000EE"/>
            <w:u w:val="single"/>
          </w:rPr>
          <w:t>8:27–33</w:t>
        </w:r>
      </w:hyperlink>
      <w:r>
        <w:rPr>
          <w:lang w:val="fr_FR" w:bidi="fr_FR"/>
        </w:rPr>
        <w:t>, tout près du milieu du livre. À Césarée de Philippes, les disciples confessent pour la première fois leur foi en Jésus comme le Messie (</w:t>
      </w:r>
      <w:hyperlink r:id="rId32">
        <w:r>
          <w:rPr>
            <w:lang w:val="fr_FR" w:bidi="fr_FR"/>
          </w:rPr>
          <w:rPr>
            <w:color w:val="0000EE"/>
            <w:u w:val="single"/>
          </w:rPr>
          <w:t>8:29</w:t>
        </w:r>
      </w:hyperlink>
      <w:r>
        <w:rPr>
          <w:lang w:val="fr_FR" w:bidi="fr_FR"/>
        </w:rPr>
        <w:t>). Après cette confession, Jésus « commença à leur parler » de sa mort et de sa résurrection à venir (</w:t>
      </w:r>
      <w:hyperlink r:id="rId33">
        <w:r>
          <w:rPr>
            <w:lang w:val="fr_FR" w:bidi="fr_FR"/>
          </w:rPr>
          <w:rPr>
            <w:color w:val="0000EE"/>
            <w:u w:val="single"/>
          </w:rPr>
          <w:t>8:31</w:t>
        </w:r>
      </w:hyperlink>
      <w:r>
        <w:rPr>
          <w:lang w:val="fr_FR" w:bidi="fr_FR"/>
        </w:rPr>
        <w:t xml:space="preserve">; comp. avec </w:t>
      </w:r>
      <w:hyperlink r:id="rId34">
        <w:r>
          <w:rPr>
            <w:lang w:val="fr_FR" w:bidi="fr_FR"/>
          </w:rPr>
          <w:rPr>
            <w:color w:val="0000EE"/>
            <w:u w:val="single"/>
          </w:rPr>
          <w:t>Mat 16:21</w:t>
        </w:r>
      </w:hyperlink>
      <w:r>
        <w:rPr>
          <w:lang w:val="fr_FR" w:bidi="fr_FR"/>
        </w:rPr>
        <w:t xml:space="preserve">). La mort et la résurrection de Jésus sont le thème principal de </w:t>
      </w:r>
      <w:hyperlink r:id="rId35">
        <w:r>
          <w:rPr>
            <w:lang w:val="fr_FR" w:bidi="fr_FR"/>
          </w:rPr>
          <w:rPr>
            <w:color w:val="0000EE"/>
            <w:u w:val="single"/>
          </w:rPr>
          <w:t>8:31–16:8</w:t>
        </w:r>
      </w:hyperlink>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hyperlink r:id="rId36">
        <w:r>
          <w:rPr>
            <w:lang w:val="fr_FR" w:bidi="fr_FR"/>
          </w:rPr>
          <w:rPr>
            <w:color w:val="0000EE"/>
            <w:u w:val="single"/>
          </w:rPr>
          <w:t>Actes 13:13</w:t>
        </w:r>
      </w:hyperlink>
      <w:r>
        <w:rPr>
          <w:lang w:val="fr_FR" w:bidi="fr_FR"/>
        </w:rPr>
        <w:t xml:space="preserve">; </w:t>
      </w:r>
      <w:hyperlink r:id="rId37">
        <w:r>
          <w:rPr>
            <w:lang w:val="fr_FR" w:bidi="fr_FR"/>
          </w:rPr>
          <w:rPr>
            <w:color w:val="0000EE"/>
            <w:u w:val="single"/>
          </w:rPr>
          <w:t>15:36–41</w:t>
        </w:r>
      </w:hyperlink>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hyperlink r:id="rId38">
        <w:r>
          <w:rPr>
            <w:lang w:val="fr_FR" w:bidi="fr_FR"/>
          </w:rPr>
          <w:rPr>
            <w:color w:val="0000EE"/>
            <w:u w:val="single"/>
          </w:rPr>
          <w:t>Marc 5:41</w:t>
        </w:r>
      </w:hyperlink>
      <w:r>
        <w:rPr>
          <w:lang w:val="fr_FR" w:bidi="fr_FR"/>
        </w:rPr>
        <w:t xml:space="preserve">; </w:t>
      </w:r>
      <w:hyperlink r:id="rId39">
        <w:r>
          <w:rPr>
            <w:lang w:val="fr_FR" w:bidi="fr_FR"/>
          </w:rPr>
          <w:rPr>
            <w:color w:val="0000EE"/>
            <w:u w:val="single"/>
          </w:rPr>
          <w:t>7:34</w:t>
        </w:r>
      </w:hyperlink>
      <w:r>
        <w:rPr>
          <w:lang w:val="fr_FR" w:bidi="fr_FR"/>
        </w:rPr>
        <w:t xml:space="preserve">; </w:t>
      </w:r>
      <w:hyperlink r:id="rId40">
        <w:r>
          <w:rPr>
            <w:lang w:val="fr_FR" w:bidi="fr_FR"/>
          </w:rPr>
          <w:rPr>
            <w:color w:val="0000EE"/>
            <w:u w:val="single"/>
          </w:rPr>
          <w:t>15:34</w:t>
        </w:r>
      </w:hyperlink>
      <w:r>
        <w:rPr>
          <w:lang w:val="fr_FR" w:bidi="fr_FR"/>
        </w:rPr>
        <w:t xml:space="preserve">). Il était aussi Juif, c’est-à-dire qu’il connaissait les diverses coutumes juives, ce qui lui a permis de les expliquer à ses lecteurs non-Juifs (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Jean Marc était effectivement un Juif qui a grandit à Jérusalem (</w:t>
      </w:r>
      <w:hyperlink r:id="rId43">
        <w:r>
          <w:rPr>
            <w:lang w:val="fr_FR" w:bidi="fr_FR"/>
          </w:rPr>
          <w:rPr>
            <w:color w:val="0000EE"/>
            <w:u w:val="single"/>
          </w:rPr>
          <w:t>Actes 12:12</w:t>
        </w:r>
      </w:hyperlink>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4">
        <w:r>
          <w:rPr>
            <w:lang w:val="fr_FR" w:bidi="fr_FR"/>
          </w:rPr>
          <w:rPr>
            <w:color w:val="0000EE"/>
            <w:u w:val="single"/>
          </w:rPr>
          <w:t>Marc 1:16–20</w:t>
        </w:r>
      </w:hyperlink>
      <w:r>
        <w:rPr>
          <w:lang w:val="fr_FR" w:bidi="fr_FR"/>
        </w:rPr>
        <w:t xml:space="preserve">; </w:t>
      </w:r>
      <w:hyperlink r:id="rId45">
        <w:r>
          <w:rPr>
            <w:lang w:val="fr_FR" w:bidi="fr_FR"/>
          </w:rPr>
          <w:rPr>
            <w:color w:val="0000EE"/>
            <w:u w:val="single"/>
          </w:rPr>
          <w:t>8:32–33</w:t>
        </w:r>
      </w:hyperlink>
      <w:r>
        <w:rPr>
          <w:lang w:val="fr_FR" w:bidi="fr_FR"/>
        </w:rPr>
        <w:t xml:space="preserve">; </w:t>
      </w:r>
      <w:hyperlink r:id="rId46">
        <w:r>
          <w:rPr>
            <w:lang w:val="fr_FR" w:bidi="fr_FR"/>
          </w:rPr>
          <w:rPr>
            <w:color w:val="0000EE"/>
            <w:u w:val="single"/>
          </w:rPr>
          <w:t>9:5–6</w:t>
        </w:r>
      </w:hyperlink>
      <w:r>
        <w:rPr>
          <w:lang w:val="fr_FR" w:bidi="fr_FR"/>
        </w:rPr>
        <w:t xml:space="preserve">; </w:t>
      </w:r>
      <w:hyperlink r:id="rId47">
        <w:r>
          <w:rPr>
            <w:lang w:val="fr_FR" w:bidi="fr_FR"/>
          </w:rPr>
          <w:rPr>
            <w:color w:val="0000EE"/>
            <w:u w:val="single"/>
          </w:rPr>
          <w:t>14:28–31</w:t>
        </w:r>
      </w:hyperlink>
      <w:r>
        <w:rPr>
          <w:lang w:val="fr_FR" w:bidi="fr_FR"/>
        </w:rPr>
        <w:t xml:space="preserve">, </w:t>
      </w:r>
      <w:hyperlink r:id="rId48">
        <w:r>
          <w:rPr>
            <w:lang w:val="fr_FR" w:bidi="fr_FR"/>
          </w:rPr>
          <w:rPr>
            <w:color w:val="0000EE"/>
            <w:u w:val="single"/>
          </w:rPr>
          <w:t>66–72</w:t>
        </w:r>
      </w:hyperlink>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49">
        <w:r>
          <w:rPr>
            <w:lang w:val="fr_FR" w:bidi="fr_FR"/>
          </w:rPr>
          <w:rPr>
            <w:color w:val="0000EE"/>
            <w:u w:val="single"/>
          </w:rPr>
          <w:t>4:17</w:t>
        </w:r>
      </w:hyperlink>
      <w:r>
        <w:rPr>
          <w:lang w:val="fr_FR" w:bidi="fr_FR"/>
        </w:rPr>
        <w:t xml:space="preserve">; </w:t>
      </w:r>
      <w:hyperlink r:id="rId50">
        <w:r>
          <w:rPr>
            <w:lang w:val="fr_FR" w:bidi="fr_FR"/>
          </w:rPr>
          <w:rPr>
            <w:color w:val="0000EE"/>
            <w:u w:val="single"/>
          </w:rPr>
          <w:t>8:34–38</w:t>
        </w:r>
      </w:hyperlink>
      <w:r>
        <w:rPr>
          <w:lang w:val="fr_FR" w:bidi="fr_FR"/>
        </w:rPr>
        <w:t xml:space="preserve">; </w:t>
      </w:r>
      <w:hyperlink r:id="rId51">
        <w:r>
          <w:rPr>
            <w:lang w:val="fr_FR" w:bidi="fr_FR"/>
          </w:rPr>
          <w:rPr>
            <w:color w:val="0000EE"/>
            <w:u w:val="single"/>
          </w:rPr>
          <w:t>10:30</w:t>
        </w:r>
      </w:hyperlink>
      <w:r>
        <w:rPr>
          <w:lang w:val="fr_FR" w:bidi="fr_FR"/>
        </w:rPr>
        <w:t xml:space="preserve">; </w:t>
      </w:r>
      <w:hyperlink r:id="rId52">
        <w:r>
          <w:rPr>
            <w:lang w:val="fr_FR" w:bidi="fr_FR"/>
          </w:rPr>
          <w:rPr>
            <w:color w:val="0000EE"/>
            <w:u w:val="single"/>
          </w:rPr>
          <w:t>13:9–13</w:t>
        </w:r>
      </w:hyperlink>
      <w:r>
        <w:rPr>
          <w:lang w:val="fr_FR" w:bidi="fr_FR"/>
        </w:rPr>
        <w:t xml:space="preserve">) suggère qu’il a été écrit pendant ou peu après la persécution de Néron, au milieu des années 60 ; 2) le discours de Jésus rapporté au chapitre </w:t>
      </w:r>
      <w:hyperlink r:id="rId53">
        <w:r>
          <w:rPr>
            <w:lang w:val="fr_FR" w:bidi="fr_FR"/>
          </w:rPr>
          <w:rPr>
            <w:color w:val="0000EE"/>
            <w:u w:val="single"/>
          </w:rPr>
          <w:t>13</w:t>
        </w:r>
      </w:hyperlink>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et distingue ses lecteurs des « Juifs » (</w:t>
      </w:r>
      <w:hyperlink r:id="rId54">
        <w:r>
          <w:rPr>
            <w:lang w:val="fr_FR" w:bidi="fr_FR"/>
          </w:rPr>
          <w:rPr>
            <w:color w:val="0000EE"/>
            <w:u w:val="single"/>
          </w:rPr>
          <w:t>7:3</w:t>
        </w:r>
      </w:hyperlink>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hyperlink r:id="rId55">
        <w:r>
          <w:rPr>
            <w:lang w:val="fr_FR" w:bidi="fr_FR"/>
          </w:rPr>
          <w:rPr>
            <w:color w:val="0000EE"/>
            <w:u w:val="single"/>
          </w:rPr>
          <w:t>2:25–26</w:t>
        </w:r>
      </w:hyperlink>
      <w:r>
        <w:rPr>
          <w:lang w:val="fr_FR" w:bidi="fr_FR"/>
        </w:rPr>
        <w:t>), ou encore l’identité de Jean-Baptiste (</w:t>
      </w:r>
      <w:hyperlink r:id="rId56">
        <w:r>
          <w:rPr>
            <w:lang w:val="fr_FR" w:bidi="fr_FR"/>
          </w:rPr>
          <w:rPr>
            <w:color w:val="0000EE"/>
            <w:u w:val="single"/>
          </w:rPr>
          <w:t>1:2–8</w:t>
        </w:r>
      </w:hyperlink>
      <w:r>
        <w:rPr>
          <w:lang w:val="fr_FR" w:bidi="fr_FR"/>
        </w:rPr>
        <w:t>), du prophète Esaïe (</w:t>
      </w:r>
      <w:hyperlink r:id="rId57">
        <w:r>
          <w:rPr>
            <w:lang w:val="fr_FR" w:bidi="fr_FR"/>
          </w:rPr>
          <w:rPr>
            <w:color w:val="0000EE"/>
            <w:u w:val="single"/>
          </w:rPr>
          <w:t>1:2</w:t>
        </w:r>
      </w:hyperlink>
      <w:r>
        <w:rPr>
          <w:lang w:val="fr_FR" w:bidi="fr_FR"/>
        </w:rPr>
        <w:t>) ou des Pharisiens et des maîtres de la loi religieuse (</w:t>
      </w:r>
      <w:hyperlink r:id="rId58">
        <w:r>
          <w:rPr>
            <w:lang w:val="fr_FR" w:bidi="fr_FR"/>
          </w:rPr>
          <w:rPr>
            <w:color w:val="0000EE"/>
            <w:u w:val="single"/>
          </w:rPr>
          <w:t>7:1</w:t>
        </w:r>
      </w:hyperlink>
      <w:r>
        <w:rPr>
          <w:lang w:val="fr_FR" w:bidi="fr_FR"/>
        </w:rPr>
        <w:t>).</w:t>
      </w:r>
    </w:p>
    <w:p>
      <w:pPr/>
      <w:r>
        <w:rPr>
          <w:lang w:val="fr_FR" w:bidi="fr_FR"/>
        </w:rPr>
      </w:r>
      <w:r>
        <w:rPr>
          <w:lang w:val="fr_FR" w:bidi="fr_FR"/>
        </w:rPr>
        <w:t xml:space="preserve">Il est ausii clair que ses lecteurs étaient Romains, ainsi que l’indiquent les « latinismes ». En </w:t>
      </w:r>
      <w:hyperlink r:id="rId59">
        <w:r>
          <w:rPr>
            <w:lang w:val="fr_FR" w:bidi="fr_FR"/>
          </w:rPr>
          <w:rPr>
            <w:color w:val="0000EE"/>
            <w:u w:val="single"/>
          </w:rPr>
          <w:t>6:27</w:t>
        </w:r>
      </w:hyperlink>
      <w:r>
        <w:rPr>
          <w:lang w:val="fr_FR" w:bidi="fr_FR"/>
        </w:rPr>
        <w:t xml:space="preserve">, Marc emploie un terme latin qui signifie « soldat » ; en </w:t>
      </w:r>
      <w:hyperlink r:id="rId60">
        <w:r>
          <w:rPr>
            <w:lang w:val="fr_FR" w:bidi="fr_FR"/>
          </w:rPr>
          <w:rPr>
            <w:color w:val="0000EE"/>
            <w:u w:val="single"/>
          </w:rPr>
          <w:t>12:42</w:t>
        </w:r>
      </w:hyperlink>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hyperlink r:id="rId61">
        <w:r>
          <w:rPr>
            <w:lang w:val="fr_FR" w:bidi="fr_FR"/>
          </w:rPr>
          <w:rPr>
            <w:color w:val="0000EE"/>
            <w:u w:val="single"/>
          </w:rPr>
          <w:t>15:39</w:t>
        </w:r>
      </w:hyperlink>
      <w:r>
        <w:rPr>
          <w:lang w:val="fr_FR" w:bidi="fr_FR"/>
        </w:rPr>
        <w:t xml:space="preserve">, </w:t>
      </w:r>
      <w:hyperlink r:id="rId62">
        <w:r>
          <w:rPr>
            <w:lang w:val="fr_FR" w:bidi="fr_FR"/>
          </w:rPr>
          <w:rPr>
            <w:color w:val="0000EE"/>
            <w:u w:val="single"/>
          </w:rPr>
          <w:t>44–45</w:t>
        </w:r>
      </w:hyperlink>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hyperlink r:id="rId63">
        <w:r>
          <w:rPr>
            <w:lang w:val="fr_FR" w:bidi="fr_FR"/>
          </w:rPr>
          <w:rPr>
            <w:color w:val="0000EE"/>
            <w:u w:val="single"/>
          </w:rPr>
          <w:t>1:21–22</w:t>
        </w:r>
      </w:hyperlink>
      <w:r>
        <w:rPr>
          <w:lang w:val="fr_FR" w:bidi="fr_FR"/>
        </w:rPr>
        <w:t xml:space="preserve">;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4:1</w:t>
        </w:r>
      </w:hyperlink>
      <w:r>
        <w:rPr>
          <w:lang w:val="fr_FR" w:bidi="fr_FR"/>
        </w:rPr>
        <w:t xml:space="preserve">; </w:t>
      </w:r>
      <w:hyperlink r:id="rId58">
        <w:r>
          <w:rPr>
            <w:lang w:val="fr_FR" w:bidi="fr_FR"/>
          </w:rPr>
          <w:rPr>
            <w:color w:val="0000EE"/>
            <w:u w:val="single"/>
          </w:rPr>
          <w:t>7:1</w:t>
        </w:r>
      </w:hyperlink>
      <w:r>
        <w:rPr>
          <w:lang w:val="fr_FR" w:bidi="fr_FR"/>
        </w:rPr>
        <w:t xml:space="preserve">), ses remarques explicatives (p. ex. </w:t>
      </w:r>
      <w:hyperlink r:id="rId66">
        <w:r>
          <w:rPr>
            <w:lang w:val="fr_FR" w:bidi="fr_FR"/>
          </w:rPr>
          <w:rPr>
            <w:color w:val="0000EE"/>
            <w:u w:val="single"/>
          </w:rPr>
          <w:t>1:16</w:t>
        </w:r>
      </w:hyperlink>
      <w:r>
        <w:rPr>
          <w:lang w:val="fr_FR" w:bidi="fr_FR"/>
        </w:rPr>
        <w:t xml:space="preserve">; </w:t>
      </w:r>
      <w:hyperlink r:id="rId67">
        <w:r>
          <w:rPr>
            <w:lang w:val="fr_FR" w:bidi="fr_FR"/>
          </w:rPr>
          <w:rPr>
            <w:color w:val="0000EE"/>
            <w:u w:val="single"/>
          </w:rPr>
          <w:t>2:15</w:t>
        </w:r>
      </w:hyperlink>
      <w:r>
        <w:rPr>
          <w:lang w:val="fr_FR" w:bidi="fr_FR"/>
        </w:rPr>
        <w:t xml:space="preserve">; </w:t>
      </w:r>
      <w:hyperlink r:id="rId68">
        <w:r>
          <w:rPr>
            <w:lang w:val="fr_FR" w:bidi="fr_FR"/>
          </w:rPr>
          <w:rPr>
            <w:color w:val="0000EE"/>
            <w:u w:val="single"/>
          </w:rPr>
          <w:t>5:8</w:t>
        </w:r>
      </w:hyperlink>
      <w:r>
        <w:rPr>
          <w:lang w:val="fr_FR" w:bidi="fr_FR"/>
        </w:rPr>
        <w:t xml:space="preserve">, </w:t>
      </w:r>
      <w:hyperlink r:id="rId69">
        <w:r>
          <w:rPr>
            <w:lang w:val="fr_FR" w:bidi="fr_FR"/>
          </w:rPr>
          <w:rPr>
            <w:color w:val="0000EE"/>
            <w:u w:val="single"/>
          </w:rPr>
          <w:t>28</w:t>
        </w:r>
      </w:hyperlink>
      <w:r>
        <w:rPr>
          <w:lang w:val="fr_FR" w:bidi="fr_FR"/>
        </w:rPr>
        <w:t xml:space="preserve">, </w:t>
      </w:r>
      <w:hyperlink r:id="rId70">
        <w:r>
          <w:rPr>
            <w:lang w:val="fr_FR" w:bidi="fr_FR"/>
          </w:rPr>
          <w:rPr>
            <w:color w:val="0000EE"/>
            <w:u w:val="single"/>
          </w:rPr>
          <w:t>42</w:t>
        </w:r>
      </w:hyperlink>
      <w:r>
        <w:rPr>
          <w:lang w:val="fr_FR" w:bidi="fr_FR"/>
        </w:rPr>
        <w:t xml:space="preserve">; </w:t>
      </w:r>
      <w:hyperlink r:id="rId71">
        <w:r>
          <w:rPr>
            <w:lang w:val="fr_FR" w:bidi="fr_FR"/>
          </w:rPr>
          <w:rPr>
            <w:color w:val="0000EE"/>
            <w:u w:val="single"/>
          </w:rPr>
          <w:t>6:14</w:t>
        </w:r>
      </w:hyperlink>
      <w:r>
        <w:rPr>
          <w:lang w:val="fr_FR" w:bidi="fr_FR"/>
        </w:rPr>
        <w:t xml:space="preserve">, </w:t>
      </w:r>
      <w:hyperlink r:id="rId72">
        <w:r>
          <w:rPr>
            <w:lang w:val="fr_FR" w:bidi="fr_FR"/>
          </w:rPr>
          <w:rPr>
            <w:color w:val="0000EE"/>
            <w:u w:val="single"/>
          </w:rPr>
          <w:t>17</w:t>
        </w:r>
      </w:hyperlink>
      <w:r>
        <w:rPr>
          <w:lang w:val="fr_FR" w:bidi="fr_FR"/>
        </w:rPr>
        <w:t xml:space="preserve">, </w:t>
      </w:r>
      <w:hyperlink r:id="rId73">
        <w:r>
          <w:rPr>
            <w:lang w:val="fr_FR" w:bidi="fr_FR"/>
          </w:rPr>
          <w:rPr>
            <w:color w:val="0000EE"/>
            <w:u w:val="single"/>
          </w:rPr>
          <w:t>20</w:t>
        </w:r>
      </w:hyperlink>
      <w:r>
        <w:rPr>
          <w:lang w:val="fr_FR" w:bidi="fr_FR"/>
        </w:rPr>
        <w:t xml:space="preserve">, </w:t>
      </w:r>
      <w:hyperlink r:id="rId74">
        <w:r>
          <w:rPr>
            <w:lang w:val="fr_FR" w:bidi="fr_FR"/>
          </w:rPr>
          <w:rPr>
            <w:color w:val="0000EE"/>
            <w:u w:val="single"/>
          </w:rPr>
          <w:t>52</w:t>
        </w:r>
      </w:hyperlink>
      <w:r>
        <w:rPr>
          <w:lang w:val="fr_FR" w:bidi="fr_FR"/>
        </w:rPr>
        <w:t xml:space="preserve">; </w:t>
      </w:r>
      <w:hyperlink r:id="rId41">
        <w:r>
          <w:rPr>
            <w:lang w:val="fr_FR" w:bidi="fr_FR"/>
          </w:rPr>
          <w:rPr>
            <w:color w:val="0000EE"/>
            <w:u w:val="single"/>
          </w:rPr>
          <w:t>7:3–4</w:t>
        </w:r>
      </w:hyperlink>
      <w:r>
        <w:rPr>
          <w:lang w:val="fr_FR" w:bidi="fr_FR"/>
        </w:rPr>
        <w:t xml:space="preserve">) et ses résumés (p. ex. </w:t>
      </w:r>
      <w:hyperlink r:id="rId75">
        <w:r>
          <w:rPr>
            <w:lang w:val="fr_FR" w:bidi="fr_FR"/>
          </w:rPr>
          <w:rPr>
            <w:color w:val="0000EE"/>
            <w:u w:val="single"/>
          </w:rPr>
          <w:t>1:14–15</w:t>
        </w:r>
      </w:hyperlink>
      <w:r>
        <w:rPr>
          <w:lang w:val="fr_FR" w:bidi="fr_FR"/>
        </w:rPr>
        <w:t xml:space="preserve">, </w:t>
      </w:r>
      <w:hyperlink r:id="rId76">
        <w:r>
          <w:rPr>
            <w:lang w:val="fr_FR" w:bidi="fr_FR"/>
          </w:rPr>
          <w:rPr>
            <w:color w:val="0000EE"/>
            <w:u w:val="single"/>
          </w:rPr>
          <w:t>34</w:t>
        </w:r>
      </w:hyperlink>
      <w:r>
        <w:rPr>
          <w:lang w:val="fr_FR" w:bidi="fr_FR"/>
        </w:rPr>
        <w:t xml:space="preserve">, </w:t>
      </w:r>
      <w:hyperlink r:id="rId77">
        <w:r>
          <w:rPr>
            <w:lang w:val="fr_FR" w:bidi="fr_FR"/>
          </w:rPr>
          <w:rPr>
            <w:color w:val="0000EE"/>
            <w:u w:val="single"/>
          </w:rPr>
          <w:t>39</w:t>
        </w:r>
      </w:hyperlink>
      <w:r>
        <w:rPr>
          <w:lang w:val="fr_FR" w:bidi="fr_FR"/>
        </w:rPr>
        <w:t xml:space="preserve">; </w:t>
      </w:r>
      <w:hyperlink r:id="rId78">
        <w:r>
          <w:rPr>
            <w:lang w:val="fr_FR" w:bidi="fr_FR"/>
          </w:rPr>
          <w:rPr>
            <w:color w:val="0000EE"/>
            <w:u w:val="single"/>
          </w:rPr>
          <w:t>3:7–12</w:t>
        </w:r>
      </w:hyperlink>
      <w:r>
        <w:rPr>
          <w:lang w:val="fr_FR" w:bidi="fr_FR"/>
        </w:rPr>
        <w:t xml:space="preserve">; </w:t>
      </w:r>
      <w:hyperlink r:id="rId79">
        <w:r>
          <w:rPr>
            <w:lang w:val="fr_FR" w:bidi="fr_FR"/>
          </w:rPr>
          <w:rPr>
            <w:color w:val="0000EE"/>
            <w:u w:val="single"/>
          </w:rPr>
          <w:t>6:53–56</w:t>
        </w:r>
      </w:hyperlink>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hyperlink r:id="rId80">
        <w:r>
          <w:rPr>
            <w:lang w:val="fr_FR" w:bidi="fr_FR"/>
          </w:rPr>
          <w:rPr>
            <w:color w:val="0000EE"/>
            <w:u w:val="single"/>
          </w:rPr>
          <w:t>1:23</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82">
        <w:r>
          <w:rPr>
            <w:lang w:val="fr_FR" w:bidi="fr_FR"/>
          </w:rPr>
          <w:rPr>
            <w:color w:val="0000EE"/>
            <w:u w:val="single"/>
          </w:rPr>
          <w:t>6:45</w:t>
        </w:r>
      </w:hyperlink>
      <w:r>
        <w:rPr>
          <w:lang w:val="fr_FR" w:bidi="fr_FR"/>
        </w:rPr>
        <w:t xml:space="preserve">). Son récit est au présent grec, plutôt qu’au passé simple, ce qui lui donne un sentiment d’imminence (p. ex. </w:t>
      </w:r>
      <w:hyperlink r:id="rId83">
        <w:r>
          <w:rPr>
            <w:lang w:val="fr_FR" w:bidi="fr_FR"/>
          </w:rPr>
          <w:rPr>
            <w:color w:val="0000EE"/>
            <w:u w:val="single"/>
          </w:rPr>
          <w:t>1:12</w:t>
        </w:r>
      </w:hyperlink>
      <w:r>
        <w:rPr>
          <w:lang w:val="fr_FR" w:bidi="fr_FR"/>
        </w:rPr>
        <w:t xml:space="preserve">, </w:t>
      </w:r>
      <w:hyperlink r:id="rId84">
        <w:r>
          <w:rPr>
            <w:lang w:val="fr_FR" w:bidi="fr_FR"/>
          </w:rPr>
          <w:rPr>
            <w:color w:val="0000EE"/>
            <w:u w:val="single"/>
          </w:rPr>
          <w:t>21</w:t>
        </w:r>
      </w:hyperlink>
      <w:r>
        <w:rPr>
          <w:lang w:val="fr_FR" w:bidi="fr_FR"/>
        </w:rPr>
        <w:t xml:space="preserve">, </w:t>
      </w:r>
      <w:hyperlink r:id="rId85">
        <w:r>
          <w:rPr>
            <w:lang w:val="fr_FR" w:bidi="fr_FR"/>
          </w:rPr>
          <w:rPr>
            <w:color w:val="0000EE"/>
            <w:u w:val="single"/>
          </w:rPr>
          <w:t>38</w:t>
        </w:r>
      </w:hyperlink>
      <w:r>
        <w:rPr>
          <w:lang w:val="fr_FR" w:bidi="fr_FR"/>
        </w:rPr>
        <w:t xml:space="preserve">, </w:t>
      </w:r>
      <w:hyperlink r:id="rId86">
        <w:r>
          <w:rPr>
            <w:lang w:val="fr_FR" w:bidi="fr_FR"/>
          </w:rPr>
          <w:rPr>
            <w:color w:val="0000EE"/>
            <w:u w:val="single"/>
          </w:rPr>
          <w:t>40</w:t>
        </w:r>
      </w:hyperlink>
      <w:r>
        <w:rPr>
          <w:lang w:val="fr_FR" w:bidi="fr_FR"/>
        </w:rPr>
        <w:t xml:space="preserve">, </w:t>
      </w:r>
      <w:hyperlink r:id="rId87">
        <w:r>
          <w:rPr>
            <w:lang w:val="fr_FR" w:bidi="fr_FR"/>
          </w:rPr>
          <w:rPr>
            <w:color w:val="0000EE"/>
            <w:u w:val="single"/>
          </w:rPr>
          <w:t>44</w:t>
        </w:r>
      </w:hyperlink>
      <w:r>
        <w:rPr>
          <w:lang w:val="fr_FR" w:bidi="fr_FR"/>
        </w:rPr>
        <w:t xml:space="preserve">; </w:t>
      </w:r>
      <w:hyperlink r:id="rId88">
        <w:r>
          <w:rPr>
            <w:lang w:val="fr_FR" w:bidi="fr_FR"/>
          </w:rPr>
          <w:rPr>
            <w:color w:val="0000EE"/>
            <w:u w:val="single"/>
          </w:rPr>
          <w:t>2:3</w:t>
        </w:r>
      </w:hyperlink>
      <w:r>
        <w:rPr>
          <w:lang w:val="fr_FR" w:bidi="fr_FR"/>
        </w:rPr>
        <w:t xml:space="preserve">; </w:t>
      </w:r>
      <w:hyperlink r:id="rId89">
        <w:r>
          <w:rPr>
            <w:lang w:val="fr_FR" w:bidi="fr_FR"/>
          </w:rPr>
          <w:rPr>
            <w:color w:val="0000EE"/>
            <w:u w:val="single"/>
          </w:rPr>
          <w:t>3:13</w:t>
        </w:r>
      </w:hyperlink>
      <w:r>
        <w:rPr>
          <w:lang w:val="fr_FR" w:bidi="fr_FR"/>
        </w:rPr>
        <w:t xml:space="preserve">). Il insère aussi souvent un récit au milieu d’un autre (p. ex. </w:t>
      </w:r>
      <w:hyperlink r:id="rId90">
        <w:r>
          <w:rPr>
            <w:lang w:val="fr_FR" w:bidi="fr_FR"/>
          </w:rPr>
          <w:rPr>
            <w:color w:val="0000EE"/>
            <w:u w:val="single"/>
          </w:rPr>
          <w:t>3:22–30</w:t>
        </w:r>
      </w:hyperlink>
      <w:r>
        <w:rPr>
          <w:lang w:val="fr_FR" w:bidi="fr_FR"/>
        </w:rPr>
        <w:t xml:space="preserve"> Et </w:t>
      </w:r>
      <w:hyperlink r:id="rId91">
        <w:r>
          <w:rPr>
            <w:lang w:val="fr_FR" w:bidi="fr_FR"/>
          </w:rPr>
          <w:rPr>
            <w:color w:val="0000EE"/>
            <w:u w:val="single"/>
          </w:rPr>
          <w:t>3:20–21</w:t>
        </w:r>
      </w:hyperlink>
      <w:r>
        <w:rPr>
          <w:lang w:val="fr_FR" w:bidi="fr_FR"/>
        </w:rPr>
        <w:t xml:space="preserve">, </w:t>
      </w:r>
      <w:hyperlink r:id="rId92">
        <w:r>
          <w:rPr>
            <w:lang w:val="fr_FR" w:bidi="fr_FR"/>
          </w:rPr>
          <w:rPr>
            <w:color w:val="0000EE"/>
            <w:u w:val="single"/>
          </w:rPr>
          <w:t>31–35</w:t>
        </w:r>
      </w:hyperlink>
      <w:r>
        <w:rPr>
          <w:lang w:val="fr_FR" w:bidi="fr_FR"/>
        </w:rPr>
        <w:t xml:space="preserve">; </w:t>
      </w:r>
      <w:hyperlink r:id="rId93">
        <w:r>
          <w:rPr>
            <w:lang w:val="fr_FR" w:bidi="fr_FR"/>
          </w:rPr>
          <w:rPr>
            <w:color w:val="0000EE"/>
            <w:u w:val="single"/>
          </w:rPr>
          <w:t>5:25–34</w:t>
        </w:r>
      </w:hyperlink>
      <w:r>
        <w:rPr>
          <w:lang w:val="fr_FR" w:bidi="fr_FR"/>
        </w:rPr>
        <w:t xml:space="preserve"> Et </w:t>
      </w:r>
      <w:hyperlink r:id="rId94">
        <w:r>
          <w:rPr>
            <w:lang w:val="fr_FR" w:bidi="fr_FR"/>
          </w:rPr>
          <w:rPr>
            <w:color w:val="0000EE"/>
            <w:u w:val="single"/>
          </w:rPr>
          <w:t>5:21–24</w:t>
        </w:r>
      </w:hyperlink>
      <w:r>
        <w:rPr>
          <w:lang w:val="fr_FR" w:bidi="fr_FR"/>
        </w:rPr>
        <w:t xml:space="preserve">, </w:t>
      </w:r>
      <w:hyperlink r:id="rId95">
        <w:r>
          <w:rPr>
            <w:lang w:val="fr_FR" w:bidi="fr_FR"/>
          </w:rPr>
          <w:rPr>
            <w:color w:val="0000EE"/>
            <w:u w:val="single"/>
          </w:rPr>
          <w:t>35–43</w:t>
        </w:r>
      </w:hyperlink>
      <w:r>
        <w:rPr>
          <w:lang w:val="fr_FR" w:bidi="fr_FR"/>
        </w:rPr>
        <w:t xml:space="preserve">; </w:t>
      </w:r>
      <w:hyperlink r:id="rId96">
        <w:r>
          <w:rPr>
            <w:lang w:val="fr_FR" w:bidi="fr_FR"/>
          </w:rPr>
          <w:rPr>
            <w:color w:val="0000EE"/>
            <w:u w:val="single"/>
          </w:rPr>
          <w:t>11:15–19</w:t>
        </w:r>
      </w:hyperlink>
      <w:r>
        <w:rPr>
          <w:lang w:val="fr_FR" w:bidi="fr_FR"/>
        </w:rPr>
        <w:t xml:space="preserve"> Et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 dans le dernier exemple, cela exprime que la partie du milieu (</w:t>
      </w:r>
      <w:hyperlink r:id="rId96">
        <w:r>
          <w:rPr>
            <w:lang w:val="fr_FR" w:bidi="fr_FR"/>
          </w:rPr>
          <w:rPr>
            <w:color w:val="0000EE"/>
            <w:u w:val="single"/>
          </w:rPr>
          <w:t>11:15–19</w:t>
        </w:r>
      </w:hyperlink>
      <w:r>
        <w:rPr>
          <w:lang w:val="fr_FR" w:bidi="fr_FR"/>
        </w:rPr>
        <w:t>, la purification du Temple) doit être comprise à la lumière du récit qui l’entoure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xml:space="preserve">, la malédiction du figuier), la purification du Temple étant un acte de jugement symbolique (comp. avec </w:t>
      </w:r>
      <w:hyperlink r:id="rId99">
        <w:r>
          <w:rPr>
            <w:lang w:val="fr_FR" w:bidi="fr_FR"/>
          </w:rPr>
          <w:rPr>
            <w:color w:val="0000EE"/>
            <w:u w:val="single"/>
          </w:rPr>
          <w:t>13:3–37</w:t>
        </w:r>
      </w:hyperlink>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6">
        <w:r>
          <w:rPr>
            <w:lang w:val="fr_FR" w:bidi="fr_FR"/>
          </w:rPr>
          <w:rPr>
            <w:color w:val="0000EE"/>
            <w:u w:val="single"/>
          </w:rPr>
          <w:t>1:34</w:t>
        </w:r>
      </w:hyperlink>
      <w:r>
        <w:rPr>
          <w:lang w:val="fr_FR" w:bidi="fr_FR"/>
        </w:rPr>
        <w:t xml:space="preserve">; </w:t>
      </w:r>
      <w:hyperlink r:id="rId100">
        <w:r>
          <w:rPr>
            <w:lang w:val="fr_FR" w:bidi="fr_FR"/>
          </w:rPr>
          <w:rPr>
            <w:color w:val="0000EE"/>
            <w:u w:val="single"/>
          </w:rPr>
          <w:t>3:11</w:t>
        </w:r>
      </w:hyperlink>
      <w:r>
        <w:rPr>
          <w:lang w:val="fr_FR" w:bidi="fr_FR"/>
        </w:rPr>
        <w:t xml:space="preserve">; </w:t>
      </w:r>
      <w:hyperlink r:id="rId101">
        <w:r>
          <w:rPr>
            <w:lang w:val="fr_FR" w:bidi="fr_FR"/>
          </w:rPr>
          <w:rPr>
            <w:color w:val="0000EE"/>
            <w:u w:val="single"/>
          </w:rPr>
          <w:t>5:7</w:t>
        </w:r>
      </w:hyperlink>
      <w:r>
        <w:rPr>
          <w:lang w:val="fr_FR" w:bidi="fr_FR"/>
        </w:rPr>
        <w:t xml:space="preserve">; comp. avec </w:t>
      </w:r>
      <w:hyperlink r:id="rId102">
        <w:r>
          <w:rPr>
            <w:lang w:val="fr_FR" w:bidi="fr_FR"/>
          </w:rPr>
          <w:rPr>
            <w:color w:val="0000EE"/>
            <w:u w:val="single"/>
          </w:rPr>
          <w:t>1:24</w:t>
        </w:r>
      </w:hyperlink>
      <w:r>
        <w:rPr>
          <w:lang w:val="fr_FR" w:bidi="fr_FR"/>
        </w:rPr>
        <w:t>) ; Dieu lui-même (</w:t>
      </w:r>
      <w:hyperlink r:id="rId103">
        <w:r>
          <w:rPr>
            <w:lang w:val="fr_FR" w:bidi="fr_FR"/>
          </w:rPr>
          <w:rPr>
            <w:color w:val="0000EE"/>
            <w:u w:val="single"/>
          </w:rPr>
          <w:t>1:11</w:t>
        </w:r>
      </w:hyperlink>
      <w:r>
        <w:rPr>
          <w:lang w:val="fr_FR" w:bidi="fr_FR"/>
        </w:rPr>
        <w:t xml:space="preserve">; </w:t>
      </w:r>
      <w:hyperlink r:id="rId104">
        <w:r>
          <w:rPr>
            <w:lang w:val="fr_FR" w:bidi="fr_FR"/>
          </w:rPr>
          <w:rPr>
            <w:color w:val="0000EE"/>
            <w:u w:val="single"/>
          </w:rPr>
          <w:t>9:7</w:t>
        </w:r>
      </w:hyperlink>
      <w:r>
        <w:rPr>
          <w:lang w:val="fr_FR" w:bidi="fr_FR"/>
        </w:rPr>
        <w:t>) ; Marc, l’auteur (</w:t>
      </w:r>
      <w:hyperlink r:id="rId13">
        <w:r>
          <w:rPr>
            <w:lang w:val="fr_FR" w:bidi="fr_FR"/>
          </w:rPr>
          <w:rPr>
            <w:color w:val="0000EE"/>
            <w:u w:val="single"/>
          </w:rPr>
          <w:t>1:1</w:t>
        </w:r>
      </w:hyperlink>
      <w:r>
        <w:rPr>
          <w:lang w:val="fr_FR" w:bidi="fr_FR"/>
        </w:rPr>
        <w:t>) ; un centurion romain (</w:t>
      </w:r>
      <w:hyperlink r:id="rId61">
        <w:r>
          <w:rPr>
            <w:lang w:val="fr_FR" w:bidi="fr_FR"/>
          </w:rPr>
          <w:rPr>
            <w:color w:val="0000EE"/>
            <w:u w:val="single"/>
          </w:rPr>
          <w:t>15:39</w:t>
        </w:r>
      </w:hyperlink>
      <w:r>
        <w:rPr>
          <w:lang w:val="fr_FR" w:bidi="fr_FR"/>
        </w:rPr>
        <w:t>) et Jésus lui-même (</w:t>
      </w:r>
      <w:hyperlink r:id="rId105">
        <w:r>
          <w:rPr>
            <w:lang w:val="fr_FR" w:bidi="fr_FR"/>
          </w:rPr>
          <w:rPr>
            <w:color w:val="0000EE"/>
            <w:u w:val="single"/>
          </w:rPr>
          <w:t>12:6</w:t>
        </w:r>
      </w:hyperlink>
      <w:r>
        <w:rPr>
          <w:lang w:val="fr_FR" w:bidi="fr_FR"/>
        </w:rPr>
        <w:t xml:space="preserve">; </w:t>
      </w:r>
      <w:hyperlink r:id="rId106">
        <w:r>
          <w:rPr>
            <w:lang w:val="fr_FR" w:bidi="fr_FR"/>
          </w:rPr>
          <w:rPr>
            <w:color w:val="0000EE"/>
            <w:u w:val="single"/>
          </w:rPr>
          <w:t>13:32</w:t>
        </w:r>
      </w:hyperlink>
      <w:r>
        <w:rPr>
          <w:lang w:val="fr_FR" w:bidi="fr_FR"/>
        </w:rPr>
        <w:t xml:space="preserve">; </w:t>
      </w:r>
      <w:hyperlink r:id="rId107">
        <w:r>
          <w:rPr>
            <w:lang w:val="fr_FR" w:bidi="fr_FR"/>
          </w:rPr>
          <w:rPr>
            <w:color w:val="0000EE"/>
            <w:u w:val="single"/>
          </w:rPr>
          <w:t>14:61–62</w:t>
        </w:r>
      </w:hyperlink>
      <w:r>
        <w:rPr>
          <w:lang w:val="fr_FR" w:bidi="fr_FR"/>
        </w:rPr>
        <w:t xml:space="preserve">). L’Evangile selon Marc contient d’autres titres pour Jésus, notamment celui qu’il préférait lui-même : « Fils de l’homme » (p. ex. </w:t>
      </w:r>
      <w:hyperlink r:id="rId108">
        <w:r>
          <w:rPr>
            <w:lang w:val="fr_FR" w:bidi="fr_FR"/>
          </w:rPr>
          <w:rPr>
            <w:color w:val="0000EE"/>
            <w:u w:val="single"/>
          </w:rPr>
          <w:t>2:10</w:t>
        </w:r>
      </w:hyperlink>
      <w:r>
        <w:rPr>
          <w:lang w:val="fr_FR" w:bidi="fr_FR"/>
        </w:rPr>
        <w:t xml:space="preserve">). Dans l’Evangile selon Marc, chacun de ces titres, ainsi que ses actes (p. ex. </w:t>
      </w:r>
      <w:hyperlink r:id="rId109">
        <w:r>
          <w:rPr>
            <w:lang w:val="fr_FR" w:bidi="fr_FR"/>
          </w:rPr>
          <w:rPr>
            <w:color w:val="0000EE"/>
            <w:u w:val="single"/>
          </w:rPr>
          <w:t>1:22</w:t>
        </w:r>
      </w:hyperlink>
      <w:r>
        <w:rPr>
          <w:lang w:val="fr_FR" w:bidi="fr_FR"/>
        </w:rPr>
        <w:t xml:space="preserve">; </w:t>
      </w:r>
      <w:hyperlink r:id="rId110">
        <w:r>
          <w:rPr>
            <w:lang w:val="fr_FR" w:bidi="fr_FR"/>
          </w:rPr>
          <w:rPr>
            <w:color w:val="0000EE"/>
            <w:u w:val="single"/>
          </w:rPr>
          <w:t>4:41</w:t>
        </w:r>
      </w:hyperlink>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hyperlink r:id="rId111">
        <w:r>
          <w:rPr>
            <w:lang w:val="fr_FR" w:bidi="fr_FR"/>
          </w:rPr>
          <w:rPr>
            <w:color w:val="0000EE"/>
            <w:u w:val="single"/>
          </w:rPr>
          <w:t>2:19–20</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33">
        <w:r>
          <w:rPr>
            <w:lang w:val="fr_FR" w:bidi="fr_FR"/>
          </w:rPr>
          <w:rPr>
            <w:color w:val="0000EE"/>
            <w:u w:val="single"/>
          </w:rPr>
          <w:t>8:31</w:t>
        </w:r>
      </w:hyperlink>
      <w:r>
        <w:rPr>
          <w:lang w:val="fr_FR" w:bidi="fr_FR"/>
        </w:rPr>
        <w:t xml:space="preserve">; </w:t>
      </w:r>
      <w:hyperlink r:id="rId112">
        <w:r>
          <w:rPr>
            <w:lang w:val="fr_FR" w:bidi="fr_FR"/>
          </w:rPr>
          <w:rPr>
            <w:color w:val="0000EE"/>
            <w:u w:val="single"/>
          </w:rPr>
          <w:t>9:9</w:t>
        </w:r>
      </w:hyperlink>
      <w:r>
        <w:rPr>
          <w:lang w:val="fr_FR" w:bidi="fr_FR"/>
        </w:rPr>
        <w:t xml:space="preserve">, </w:t>
      </w:r>
      <w:hyperlink r:id="rId113">
        <w:r>
          <w:rPr>
            <w:lang w:val="fr_FR" w:bidi="fr_FR"/>
          </w:rPr>
          <w:rPr>
            <w:color w:val="0000EE"/>
            <w:u w:val="single"/>
          </w:rPr>
          <w:t>12</w:t>
        </w:r>
      </w:hyperlink>
      <w:r>
        <w:rPr>
          <w:lang w:val="fr_FR" w:bidi="fr_FR"/>
        </w:rPr>
        <w:t xml:space="preserve">, </w:t>
      </w:r>
      <w:hyperlink r:id="rId114">
        <w:r>
          <w:rPr>
            <w:lang w:val="fr_FR" w:bidi="fr_FR"/>
          </w:rPr>
          <w:rPr>
            <w:color w:val="0000EE"/>
            <w:u w:val="single"/>
          </w:rPr>
          <w:t>31</w:t>
        </w:r>
      </w:hyperlink>
      <w:r>
        <w:rPr>
          <w:lang w:val="fr_FR" w:bidi="fr_FR"/>
        </w:rPr>
        <w:t xml:space="preserve">; </w:t>
      </w:r>
      <w:hyperlink r:id="rId115">
        <w:r>
          <w:rPr>
            <w:lang w:val="fr_FR" w:bidi="fr_FR"/>
          </w:rPr>
          <w:rPr>
            <w:color w:val="0000EE"/>
            <w:u w:val="single"/>
          </w:rPr>
          <w:t>10:33–34</w:t>
        </w:r>
      </w:hyperlink>
      <w:r>
        <w:rPr>
          <w:lang w:val="fr_FR" w:bidi="fr_FR"/>
        </w:rPr>
        <w:t xml:space="preserve">, </w:t>
      </w:r>
      <w:hyperlink r:id="rId116">
        <w:r>
          <w:rPr>
            <w:lang w:val="fr_FR" w:bidi="fr_FR"/>
          </w:rPr>
          <w:rPr>
            <w:color w:val="0000EE"/>
            <w:u w:val="single"/>
          </w:rPr>
          <w:t>45</w:t>
        </w:r>
      </w:hyperlink>
      <w:r>
        <w:rPr>
          <w:lang w:val="fr_FR" w:bidi="fr_FR"/>
        </w:rPr>
        <w:t xml:space="preserve">; </w:t>
      </w:r>
      <w:hyperlink r:id="rId117">
        <w:r>
          <w:rPr>
            <w:lang w:val="fr_FR" w:bidi="fr_FR"/>
          </w:rPr>
          <w:rPr>
            <w:color w:val="0000EE"/>
            <w:u w:val="single"/>
          </w:rPr>
          <w:t>12:1–11</w:t>
        </w:r>
      </w:hyperlink>
      <w:r>
        <w:rPr>
          <w:lang w:val="fr_FR" w:bidi="fr_FR"/>
        </w:rPr>
        <w:t xml:space="preserve">; </w:t>
      </w:r>
      <w:hyperlink r:id="rId118">
        <w:r>
          <w:rPr>
            <w:lang w:val="fr_FR" w:bidi="fr_FR"/>
          </w:rPr>
          <w:rPr>
            <w:color w:val="0000EE"/>
            <w:u w:val="single"/>
          </w:rPr>
          <w:t>14:1–11</w:t>
        </w:r>
      </w:hyperlink>
      <w:r>
        <w:rPr>
          <w:lang w:val="fr_FR" w:bidi="fr_FR"/>
        </w:rPr>
        <w:t xml:space="preserve">,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24–25</w:t>
        </w:r>
      </w:hyperlink>
      <w:r>
        <w:rPr>
          <w:lang w:val="fr_FR" w:bidi="fr_FR"/>
        </w:rPr>
        <w:t xml:space="preserve">, </w:t>
      </w:r>
      <w:hyperlink r:id="rId121">
        <w:r>
          <w:rPr>
            <w:lang w:val="fr_FR" w:bidi="fr_FR"/>
          </w:rPr>
          <w:rPr>
            <w:color w:val="0000EE"/>
            <w:u w:val="single"/>
          </w:rPr>
          <w:t>36</w:t>
        </w:r>
      </w:hyperlink>
      <w:r>
        <w:rPr>
          <w:lang w:val="fr_FR" w:bidi="fr_FR"/>
        </w:rPr>
        <w:t xml:space="preserve">, </w:t>
      </w:r>
      <w:hyperlink r:id="rId122">
        <w:r>
          <w:rPr>
            <w:lang w:val="fr_FR" w:bidi="fr_FR"/>
          </w:rPr>
          <w:rPr>
            <w:color w:val="0000EE"/>
            <w:u w:val="single"/>
          </w:rPr>
          <w:t>14:64–15:47</w:t>
        </w:r>
      </w:hyperlink>
      <w:r>
        <w:rPr>
          <w:lang w:val="fr_FR" w:bidi="fr_FR"/>
        </w:rPr>
        <w:t>). Marc insiste que la mort de Jésus faisait partie du plan de Dieu. C’était une nécessité divine (</w:t>
      </w:r>
      <w:hyperlink r:id="rId33">
        <w:r>
          <w:rPr>
            <w:lang w:val="fr_FR" w:bidi="fr_FR"/>
          </w:rPr>
          <w:rPr>
            <w:color w:val="0000EE"/>
            <w:u w:val="single"/>
          </w:rPr>
          <w:t>8:31</w:t>
        </w:r>
      </w:hyperlink>
      <w:r>
        <w:rPr>
          <w:lang w:val="fr_FR" w:bidi="fr_FR"/>
        </w:rPr>
        <w:t>), car Dieu l’a voulue (</w:t>
      </w:r>
      <w:hyperlink r:id="rId116">
        <w:r>
          <w:rPr>
            <w:lang w:val="fr_FR" w:bidi="fr_FR"/>
          </w:rPr>
          <w:rPr>
            <w:color w:val="0000EE"/>
            <w:u w:val="single"/>
          </w:rPr>
          <w:t>10:45</w:t>
        </w:r>
      </w:hyperlink>
      <w:r>
        <w:rPr>
          <w:lang w:val="fr_FR" w:bidi="fr_FR"/>
        </w:rPr>
        <w:t xml:space="preserve">; </w:t>
      </w:r>
      <w:hyperlink r:id="rId121">
        <w:r>
          <w:rPr>
            <w:lang w:val="fr_FR" w:bidi="fr_FR"/>
          </w:rPr>
          <w:rPr>
            <w:color w:val="0000EE"/>
            <w:u w:val="single"/>
          </w:rPr>
          <w:t>14:36</w:t>
        </w:r>
      </w:hyperlink>
      <w:r>
        <w:rPr>
          <w:lang w:val="fr_FR" w:bidi="fr_FR"/>
        </w:rPr>
        <w:t xml:space="preserve">). L’Ancien Testament annonce également la mort du Messie (voir </w:t>
      </w:r>
      <w:hyperlink r:id="rId113">
        <w:r>
          <w:rPr>
            <w:lang w:val="fr_FR" w:bidi="fr_FR"/>
          </w:rPr>
          <w:rPr>
            <w:color w:val="0000EE"/>
            <w:u w:val="single"/>
          </w:rPr>
          <w:t>9:12</w:t>
        </w:r>
      </w:hyperlink>
      <w:r>
        <w:rPr>
          <w:lang w:val="fr_FR" w:bidi="fr_FR"/>
        </w:rPr>
        <w:t xml:space="preserve">; </w:t>
      </w:r>
      <w:hyperlink r:id="rId119">
        <w:r>
          <w:rPr>
            <w:lang w:val="fr_FR" w:bidi="fr_FR"/>
          </w:rPr>
          <w:rPr>
            <w:color w:val="0000EE"/>
            <w:u w:val="single"/>
          </w:rPr>
          <w:t>14:21</w:t>
        </w:r>
      </w:hyperlink>
      <w:r>
        <w:rPr>
          <w:lang w:val="fr_FR" w:bidi="fr_FR"/>
        </w:rPr>
        <w:t xml:space="preserve">, </w:t>
      </w:r>
      <w:hyperlink r:id="rId123">
        <w:r>
          <w:rPr>
            <w:lang w:val="fr_FR" w:bidi="fr_FR"/>
          </w:rPr>
          <w:rPr>
            <w:color w:val="0000EE"/>
            <w:u w:val="single"/>
          </w:rPr>
          <w:t>27</w:t>
        </w:r>
      </w:hyperlink>
      <w:r>
        <w:rPr>
          <w:lang w:val="fr_FR" w:bidi="fr_FR"/>
        </w:rPr>
        <w:t xml:space="preserve">, </w:t>
      </w:r>
      <w:hyperlink r:id="rId124">
        <w:r>
          <w:rPr>
            <w:lang w:val="fr_FR" w:bidi="fr_FR"/>
          </w:rPr>
          <w:rPr>
            <w:color w:val="0000EE"/>
            <w:u w:val="single"/>
          </w:rPr>
          <w:t>49</w:t>
        </w:r>
      </w:hyperlink>
      <w:r>
        <w:rPr>
          <w:lang w:val="fr_FR" w:bidi="fr_FR"/>
        </w:rPr>
        <w:t>). Jésus est venu donner sa vie en rançon pour beaucoup (</w:t>
      </w:r>
      <w:hyperlink r:id="rId116">
        <w:r>
          <w:rPr>
            <w:lang w:val="fr_FR" w:bidi="fr_FR"/>
          </w:rPr>
          <w:rPr>
            <w:color w:val="0000EE"/>
            <w:u w:val="single"/>
          </w:rPr>
          <w:t>10:45</w:t>
        </w:r>
      </w:hyperlink>
      <w:r>
        <w:rPr>
          <w:lang w:val="fr_FR" w:bidi="fr_FR"/>
        </w:rPr>
        <w:t>) et pour verser son sang en sacrifice afin d'établir une nouvelle alliance (</w:t>
      </w:r>
      <w:hyperlink r:id="rId125">
        <w:r>
          <w:rPr>
            <w:lang w:val="fr_FR" w:bidi="fr_FR"/>
          </w:rPr>
          <w:rPr>
            <w:color w:val="0000EE"/>
            <w:u w:val="single"/>
          </w:rPr>
          <w:t>14:24</w:t>
        </w:r>
      </w:hyperlink>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hyperlink r:id="rId126">
        <w:r>
          <w:rPr>
            <w:lang w:val="fr_FR" w:bidi="fr_FR"/>
          </w:rPr>
          <w:rPr>
            <w:color w:val="0000EE"/>
            <w:u w:val="single"/>
          </w:rPr>
          <w:t>8:34</w:t>
        </w:r>
      </w:hyperlink>
      <w:r>
        <w:rPr>
          <w:lang w:val="fr_FR" w:bidi="fr_FR"/>
        </w:rPr>
        <w:t>). La vie de disciple exclut une réponse sans conviction, mais exige que nous laissions tout derrière nous pour suivre Jésus (</w:t>
      </w:r>
      <w:hyperlink r:id="rId127">
        <w:r>
          <w:rPr>
            <w:lang w:val="fr_FR" w:bidi="fr_FR"/>
          </w:rPr>
          <w:rPr>
            <w:color w:val="0000EE"/>
            <w:u w:val="single"/>
          </w:rPr>
          <w:t>1:18</w:t>
        </w:r>
      </w:hyperlink>
      <w:r>
        <w:rPr>
          <w:lang w:val="fr_FR" w:bidi="fr_FR"/>
        </w:rPr>
        <w:t xml:space="preserve">, </w:t>
      </w:r>
      <w:hyperlink r:id="rId128">
        <w:r>
          <w:rPr>
            <w:lang w:val="fr_FR" w:bidi="fr_FR"/>
          </w:rPr>
          <w:rPr>
            <w:color w:val="0000EE"/>
            <w:u w:val="single"/>
          </w:rPr>
          <w:t>20</w:t>
        </w:r>
      </w:hyperlink>
      <w:r>
        <w:rPr>
          <w:lang w:val="fr_FR" w:bidi="fr_FR"/>
        </w:rPr>
        <w:t xml:space="preserve">; </w:t>
      </w:r>
      <w:hyperlink r:id="rId129">
        <w:r>
          <w:rPr>
            <w:lang w:val="fr_FR" w:bidi="fr_FR"/>
          </w:rPr>
          <w:rPr>
            <w:color w:val="0000EE"/>
            <w:u w:val="single"/>
          </w:rPr>
          <w:t>10:21</w:t>
        </w:r>
      </w:hyperlink>
      <w:r>
        <w:rPr>
          <w:lang w:val="fr_FR" w:bidi="fr_FR"/>
        </w:rPr>
        <w:t xml:space="preserve">, </w:t>
      </w:r>
      <w:hyperlink r:id="rId130">
        <w:r>
          <w:rPr>
            <w:lang w:val="fr_FR" w:bidi="fr_FR"/>
          </w:rPr>
          <w:rPr>
            <w:color w:val="0000EE"/>
            <w:u w:val="single"/>
          </w:rPr>
          <w:t>29</w:t>
        </w:r>
      </w:hyperlink>
      <w:r>
        <w:rPr>
          <w:lang w:val="fr_FR" w:bidi="fr_FR"/>
        </w:rPr>
        <w:t>). La vie de disciple peut même mener à la persécution et au martyre (</w:t>
      </w:r>
      <w:hyperlink r:id="rId52">
        <w:r>
          <w:rPr>
            <w:lang w:val="fr_FR" w:bidi="fr_FR"/>
          </w:rPr>
          <w:rPr>
            <w:color w:val="0000EE"/>
            <w:u w:val="single"/>
          </w:rPr>
          <w:t>13:9–13</w:t>
        </w:r>
      </w:hyperlink>
      <w:r>
        <w:rPr>
          <w:lang w:val="fr_FR" w:bidi="fr_FR"/>
        </w:rPr>
        <w:t>a), mais les chrétiens ont la promesse que la persévérance dans la foi mène au salut (</w:t>
      </w:r>
      <w:hyperlink r:id="rId131">
        <w:r>
          <w:rPr>
            <w:lang w:val="fr_FR" w:bidi="fr_FR"/>
          </w:rPr>
          <w:rPr>
            <w:color w:val="0000EE"/>
            <w:u w:val="single"/>
          </w:rPr>
          <w:t>13:13</w:t>
        </w:r>
      </w:hyperlink>
      <w:r>
        <w:rPr>
          <w:lang w:val="fr_FR" w:bidi="fr_FR"/>
        </w:rPr>
        <w:t>) et à la vie éternelle (</w:t>
      </w:r>
      <w:hyperlink r:id="rId51">
        <w:r>
          <w:rPr>
            <w:lang w:val="fr_FR" w:bidi="fr_FR"/>
          </w:rPr>
          <w:rPr>
            <w:color w:val="0000EE"/>
            <w:u w:val="single"/>
          </w:rPr>
          <w:t>10:30</w:t>
        </w:r>
      </w:hyperlink>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2">
        <w:r>
          <w:rPr>
            <w:lang w:val="fr_FR" w:bidi="fr_FR"/>
          </w:rPr>
          <w:rPr>
            <w:color w:val="0000EE"/>
            <w:u w:val="single"/>
          </w:rPr>
          <w:t>7:36</w:t>
        </w:r>
      </w:hyperlink>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hyperlink r:id="rId75">
        <w:r>
          <w:rPr>
            <w:lang w:val="fr_FR" w:bidi="fr_FR"/>
          </w:rPr>
          <w:rPr>
            <w:color w:val="0000EE"/>
            <w:u w:val="single"/>
          </w:rPr>
          <w:t>1:14–15</w:t>
        </w:r>
      </w:hyperlink>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20"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