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Hebrews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w:t>
      </w:r>
      <w:r>
        <w:rPr>
          <w:lang w:val="fr_FR" w:bidi="fr_FR"/>
        </w:rPr>
      </w:r>
    </w:p>
    <w:p>
      <w:pPr/>
      <w:r>
        <w:rPr>
          <w:lang w:val="fr_FR" w:bidi="fr_FR"/>
        </w:rPr>
      </w:r>
      <w:r>
        <w:rPr>
          <w:lang w:val="fr_FR" w:bidi="fr_FR"/>
        </w:rP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2"/>
      </w:pPr>
      <w:r>
        <w:rPr>
          <w:lang w:val="fr_FR" w:bidi="fr_FR"/>
        </w:rPr>
        <w:t>Contexte</w:t>
      </w:r>
    </w:p>
    <w:p>
      <w:pPr/>
      <w:r>
        <w:rPr>
          <w:lang w:val="fr_FR" w:bidi="fr_FR"/>
        </w:rPr>
      </w:r>
      <w:r>
        <w:rPr>
          <w:lang w:val="fr_FR" w:bidi="fr_FR"/>
        </w:rP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pPr/>
      <w:r>
        <w:rPr>
          <w:lang w:val="fr_FR" w:bidi="fr_FR"/>
        </w:rPr>
      </w:r>
      <w:r>
        <w:rPr>
          <w:lang w:val="fr_FR" w:bidi="fr_FR"/>
        </w:rP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hyperlink r:id="rId13">
        <w:r>
          <w:rPr>
            <w:lang w:val="fr_FR" w:bidi="fr_FR"/>
          </w:rPr>
          <w:rPr>
            <w:color w:val="0000EE"/>
            <w:u w:val="single"/>
          </w:rPr>
          <w:t>Ac 2.10</w:t>
        </w:r>
      </w:hyperlink>
      <w:r>
        <w:rPr>
          <w:lang w:val="fr_FR" w:bidi="fr_FR"/>
        </w:rPr>
        <w:t>) retournent chez eux. Les croyants romains font preuve de courage et d'endurance (</w:t>
      </w:r>
      <w:hyperlink r:id="rId14">
        <w:r>
          <w:rPr>
            <w:lang w:val="fr_FR" w:bidi="fr_FR"/>
          </w:rPr>
          <w:rPr>
            <w:color w:val="0000EE"/>
            <w:u w:val="single"/>
          </w:rPr>
          <w:t>Hé 10.32–34</w:t>
        </w:r>
      </w:hyperlink>
      <w:r>
        <w:rPr>
          <w:lang w:val="fr_FR" w:bidi="fr_FR"/>
        </w:rPr>
        <w:t>), mais au moment où l'épître aux Hébreux est écrite, la ferveur spirituelle de certains s'est refroidie (</w:t>
      </w:r>
      <w:hyperlink r:id="rId15">
        <w:r>
          <w:rPr>
            <w:lang w:val="fr_FR" w:bidi="fr_FR"/>
          </w:rPr>
          <w:rPr>
            <w:color w:val="0000EE"/>
            <w:u w:val="single"/>
          </w:rPr>
          <w:t>5.11–14</w:t>
        </w:r>
      </w:hyperlink>
      <w:r>
        <w:rPr>
          <w:lang w:val="fr_FR" w:bidi="fr_FR"/>
        </w:rPr>
        <w:t>), et leur perspective théologique est faussée (</w:t>
      </w:r>
      <w:hyperlink r:id="rId16">
        <w:r>
          <w:rPr>
            <w:lang w:val="fr_FR" w:bidi="fr_FR"/>
          </w:rPr>
          <w:rPr>
            <w:color w:val="0000EE"/>
            <w:u w:val="single"/>
          </w:rPr>
          <w:t>2.1</w:t>
        </w:r>
      </w:hyperlink>
      <w:r>
        <w:rPr>
          <w:lang w:val="fr_FR" w:bidi="fr_FR"/>
        </w:rPr>
        <w:t>). Certains ont même abandonné le Christ et l'Église (</w:t>
      </w:r>
      <w:hyperlink r:id="rId17">
        <w:r>
          <w:rPr>
            <w:lang w:val="fr_FR" w:bidi="fr_FR"/>
          </w:rPr>
          <w:rPr>
            <w:color w:val="0000EE"/>
            <w:u w:val="single"/>
          </w:rPr>
          <w:t>6.4–8</w:t>
        </w:r>
      </w:hyperlink>
      <w:r>
        <w:rPr>
          <w:lang w:val="fr_FR" w:bidi="fr_FR"/>
        </w:rPr>
        <w:t>).</w:t>
      </w:r>
    </w:p>
    <w:p>
      <w:pPr>
        <w:pStyle w:val="Heading2"/>
      </w:pPr>
      <w:r>
        <w:rPr>
          <w:lang w:val="fr_FR" w:bidi="fr_FR"/>
        </w:rPr>
        <w:t>Résumé</w:t>
      </w:r>
    </w:p>
    <w:p>
      <w:pPr/>
      <w:r>
        <w:rPr>
          <w:lang w:val="fr_FR" w:bidi="fr_FR"/>
        </w:rPr>
      </w:r>
      <w:r>
        <w:rPr>
          <w:lang w:val="fr_FR" w:bidi="fr_FR"/>
        </w:rPr>
        <w:t xml:space="preserve">L'épître aux Hébreux est une réponse pastorale vigoureuse et bien pensée aux besoins des personnes qui luttent. Dans le style d'un sermon du premier siècle, l'auteur alterne entre une </w:t>
      </w:r>
      <w:r>
        <w:rPr>
          <w:i/>
          <w:lang w:val="fr_FR" w:bidi="fr_FR"/>
        </w:rPr>
        <w:t>exposition</w:t>
      </w:r>
      <w:r>
        <w:rPr>
          <w:lang w:val="fr_FR" w:bidi="fr_FR"/>
        </w:rPr>
        <w:t xml:space="preserve"> sur la personne et l'œuvre du Christ et l'</w:t>
      </w:r>
      <w:r>
        <w:rPr>
          <w:i/>
          <w:lang w:val="fr_FR" w:bidi="fr_FR"/>
        </w:rPr>
        <w:t>exhortation</w:t>
      </w:r>
      <w:r>
        <w:rPr>
          <w:lang w:val="fr_FR" w:bidi="fr_FR"/>
        </w:rP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pPr/>
      <w:r>
        <w:rPr>
          <w:lang w:val="fr_FR" w:bidi="fr_FR"/>
        </w:rPr>
      </w:r>
      <w:r>
        <w:rPr>
          <w:lang w:val="fr_FR" w:bidi="fr_FR"/>
        </w:rPr>
        <w:t>Après une introduction à l'ensemble du sermon (</w:t>
      </w:r>
      <w:hyperlink r:id="rId18">
        <w:r>
          <w:rPr>
            <w:lang w:val="fr_FR" w:bidi="fr_FR"/>
          </w:rPr>
          <w:rPr>
            <w:color w:val="0000EE"/>
            <w:u w:val="single"/>
          </w:rPr>
          <w:t>1.1–4</w:t>
        </w:r>
      </w:hyperlink>
      <w:r>
        <w:rPr>
          <w:lang w:val="fr_FR" w:bidi="fr_FR"/>
        </w:rPr>
        <w:t>), l'exposition de l'auteur sur la supériorité du Christ se développe en deux grands mouvements. Le premier (</w:t>
      </w:r>
      <w:hyperlink r:id="rId19">
        <w:r>
          <w:rPr>
            <w:lang w:val="fr_FR" w:bidi="fr_FR"/>
          </w:rPr>
          <w:rPr>
            <w:color w:val="0000EE"/>
            <w:u w:val="single"/>
          </w:rPr>
          <w:t>1.5–2.18</w:t>
        </w:r>
      </w:hyperlink>
      <w:r>
        <w:rPr>
          <w:lang w:val="fr_FR" w:bidi="fr_FR"/>
        </w:rPr>
        <w:t>) explique la relation du Fils avec les anges. Ceux-ci sont des serviteurs (</w:t>
      </w:r>
      <w:hyperlink r:id="rId20">
        <w:r>
          <w:rPr>
            <w:lang w:val="fr_FR" w:bidi="fr_FR"/>
          </w:rPr>
          <w:rPr>
            <w:color w:val="0000EE"/>
            <w:u w:val="single"/>
          </w:rPr>
          <w:t>1.6–7</w:t>
        </w:r>
      </w:hyperlink>
      <w:r>
        <w:rPr>
          <w:lang w:val="fr_FR" w:bidi="fr_FR"/>
        </w:rPr>
        <w:t xml:space="preserve">, </w:t>
      </w:r>
      <w:hyperlink r:id="rId21">
        <w:r>
          <w:rPr>
            <w:lang w:val="fr_FR" w:bidi="fr_FR"/>
          </w:rPr>
          <w:rPr>
            <w:color w:val="0000EE"/>
            <w:u w:val="single"/>
          </w:rPr>
          <w:t>14</w:t>
        </w:r>
      </w:hyperlink>
      <w:r>
        <w:rPr>
          <w:lang w:val="fr_FR" w:bidi="fr_FR"/>
        </w:rPr>
        <w:t>), mais le Fils exalté (</w:t>
      </w:r>
      <w:hyperlink r:id="rId22">
        <w:r>
          <w:rPr>
            <w:lang w:val="fr_FR" w:bidi="fr_FR"/>
          </w:rPr>
          <w:rPr>
            <w:color w:val="0000EE"/>
            <w:u w:val="single"/>
          </w:rPr>
          <w:t>1.13</w:t>
        </w:r>
      </w:hyperlink>
      <w:r>
        <w:rPr>
          <w:lang w:val="fr_FR" w:bidi="fr_FR"/>
        </w:rPr>
        <w:t>), avec sa relation unique avec le Père (</w:t>
      </w:r>
      <w:hyperlink r:id="rId23">
        <w:r>
          <w:rPr>
            <w:lang w:val="fr_FR" w:bidi="fr_FR"/>
          </w:rPr>
          <w:rPr>
            <w:color w:val="0000EE"/>
            <w:u w:val="single"/>
          </w:rPr>
          <w:t>1.5</w:t>
        </w:r>
      </w:hyperlink>
      <w:r>
        <w:rPr>
          <w:lang w:val="fr_FR" w:bidi="fr_FR"/>
        </w:rPr>
        <w:t>), est le Seigneur, le créateur de l'univers et celui qui le soutient ; en effet, il est Dieu (</w:t>
      </w:r>
      <w:hyperlink r:id="rId24">
        <w:r>
          <w:rPr>
            <w:lang w:val="fr_FR" w:bidi="fr_FR"/>
          </w:rPr>
          <w:rPr>
            <w:color w:val="0000EE"/>
            <w:u w:val="single"/>
          </w:rPr>
          <w:t>1.8–12</w:t>
        </w:r>
      </w:hyperlink>
      <w:r>
        <w:rPr>
          <w:lang w:val="fr_FR" w:bidi="fr_FR"/>
        </w:rPr>
        <w:t>). L'auteur exhorte ses auditeurs à prêter attention au message de salut qui leur a été enseigné (</w:t>
      </w:r>
      <w:hyperlink r:id="rId25">
        <w:r>
          <w:rPr>
            <w:lang w:val="fr_FR" w:bidi="fr_FR"/>
          </w:rPr>
          <w:rPr>
            <w:color w:val="0000EE"/>
            <w:u w:val="single"/>
          </w:rPr>
          <w:t>2.1–4</w:t>
        </w:r>
      </w:hyperlink>
      <w:r>
        <w:rPr>
          <w:lang w:val="fr_FR" w:bidi="fr_FR"/>
        </w:rPr>
        <w:t>), puis reprend son exposition. La position du Christ exalté a temporairement été inférieure à celle des anges lorsqu'il est devenu humain (</w:t>
      </w:r>
      <w:hyperlink r:id="rId26">
        <w:r>
          <w:rPr>
            <w:lang w:val="fr_FR" w:bidi="fr_FR"/>
          </w:rPr>
          <w:rPr>
            <w:color w:val="0000EE"/>
            <w:u w:val="single"/>
          </w:rPr>
          <w:t>2.5–9</w:t>
        </w:r>
      </w:hyperlink>
      <w:r>
        <w:rPr>
          <w:lang w:val="fr_FR" w:bidi="fr_FR"/>
        </w:rPr>
        <w:t>) ; Jésus s'est fait chair et sang afin de mourir pour nous libérer (</w:t>
      </w:r>
      <w:hyperlink r:id="rId27">
        <w:r>
          <w:rPr>
            <w:lang w:val="fr_FR" w:bidi="fr_FR"/>
          </w:rPr>
          <w:rPr>
            <w:color w:val="0000EE"/>
            <w:u w:val="single"/>
          </w:rPr>
          <w:t>2.10–18</w:t>
        </w:r>
      </w:hyperlink>
      <w:r>
        <w:rPr>
          <w:lang w:val="fr_FR" w:bidi="fr_FR"/>
        </w:rPr>
        <w:t>). La première exposition est suivie d'une exhortation (</w:t>
      </w:r>
      <w:hyperlink r:id="rId28">
        <w:r>
          <w:rPr>
            <w:lang w:val="fr_FR" w:bidi="fr_FR"/>
          </w:rPr>
          <w:rPr>
            <w:color w:val="0000EE"/>
            <w:u w:val="single"/>
          </w:rPr>
          <w:t>3.1–4.13</w:t>
        </w:r>
      </w:hyperlink>
      <w:r>
        <w:rPr>
          <w:lang w:val="fr_FR" w:bidi="fr_FR"/>
        </w:rPr>
        <w:t>) qui met l'accent sur la nécessité d'une obéissance fidèle et sur une promesse de repos pour le peuple de Dieu.</w:t>
      </w:r>
    </w:p>
    <w:p>
      <w:pPr/>
      <w:r>
        <w:rPr>
          <w:lang w:val="fr_FR" w:bidi="fr_FR"/>
        </w:rPr>
      </w:r>
      <w:r>
        <w:rPr>
          <w:lang w:val="fr_FR" w:bidi="fr_FR"/>
        </w:rPr>
        <w:t>Le deuxième mouvement de l'exposition (</w:t>
      </w:r>
      <w:hyperlink r:id="rId29">
        <w:r>
          <w:rPr>
            <w:lang w:val="fr_FR" w:bidi="fr_FR"/>
          </w:rPr>
          <w:rPr>
            <w:color w:val="0000EE"/>
            <w:u w:val="single"/>
          </w:rPr>
          <w:t>4.14–10.18</w:t>
        </w:r>
      </w:hyperlink>
      <w:r>
        <w:rPr>
          <w:lang w:val="fr_FR" w:bidi="fr_FR"/>
        </w:rPr>
        <w:t xml:space="preserve">) aborde la position du Fils, notre souverain sacrificateur, en relation avec le système sacrificiel vétérotestamentaire. Après avoir introduit ce thème en </w:t>
      </w:r>
      <w:hyperlink r:id="rId30">
        <w:r>
          <w:rPr>
            <w:lang w:val="fr_FR" w:bidi="fr_FR"/>
          </w:rPr>
          <w:rPr>
            <w:color w:val="0000EE"/>
            <w:u w:val="single"/>
          </w:rPr>
          <w:t>4.14–16</w:t>
        </w:r>
      </w:hyperlink>
      <w:r>
        <w:rPr>
          <w:lang w:val="fr_FR" w:bidi="fr_FR"/>
        </w:rPr>
        <w:t>, l'auteur aborde la nomination du Fils en tant que souverain sacrificateur supérieur (</w:t>
      </w:r>
      <w:hyperlink r:id="rId31">
        <w:r>
          <w:rPr>
            <w:lang w:val="fr_FR" w:bidi="fr_FR"/>
          </w:rPr>
          <w:rPr>
            <w:color w:val="0000EE"/>
            <w:u w:val="single"/>
          </w:rPr>
          <w:t>5.1–10</w:t>
        </w:r>
      </w:hyperlink>
      <w:r>
        <w:rPr>
          <w:lang w:val="fr_FR" w:bidi="fr_FR"/>
        </w:rPr>
        <w:t>) et confronte la communauté au sujet de son immaturité spirituelle (</w:t>
      </w:r>
      <w:hyperlink r:id="rId32">
        <w:r>
          <w:rPr>
            <w:lang w:val="fr_FR" w:bidi="fr_FR"/>
          </w:rPr>
          <w:rPr>
            <w:color w:val="0000EE"/>
            <w:u w:val="single"/>
          </w:rPr>
          <w:t>5.11–6.20</w:t>
        </w:r>
      </w:hyperlink>
      <w:r>
        <w:rPr>
          <w:lang w:val="fr_FR" w:bidi="fr_FR"/>
        </w:rPr>
        <w:t>). Une discussion sur la supériorité de Melchisédek par rapport aux sacrificateurs lévitiques (</w:t>
      </w:r>
      <w:hyperlink r:id="rId33">
        <w:r>
          <w:rPr>
            <w:lang w:val="fr_FR" w:bidi="fr_FR"/>
          </w:rPr>
          <w:rPr>
            <w:color w:val="0000EE"/>
            <w:u w:val="single"/>
          </w:rPr>
          <w:t>7.1–10</w:t>
        </w:r>
      </w:hyperlink>
      <w:r>
        <w:rPr>
          <w:lang w:val="fr_FR" w:bidi="fr_FR"/>
        </w:rPr>
        <w:t>) pose les bases de la présentation de Jésus comme le souverain sacrificateur supérieur selon l'ordre de Melchisédek (</w:t>
      </w:r>
      <w:hyperlink r:id="rId34">
        <w:r>
          <w:rPr>
            <w:lang w:val="fr_FR" w:bidi="fr_FR"/>
          </w:rPr>
          <w:rPr>
            <w:color w:val="0000EE"/>
            <w:u w:val="single"/>
          </w:rPr>
          <w:t>7.11–28</w:t>
        </w:r>
      </w:hyperlink>
      <w:r>
        <w:rPr>
          <w:lang w:val="fr_FR" w:bidi="fr_FR"/>
        </w:rP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hyperlink r:id="rId35">
        <w:r>
          <w:rPr>
            <w:lang w:val="fr_FR" w:bidi="fr_FR"/>
          </w:rPr>
          <w:rPr>
            <w:color w:val="0000EE"/>
            <w:u w:val="single"/>
          </w:rPr>
          <w:t>8.3–10.18</w:t>
        </w:r>
      </w:hyperlink>
      <w:r>
        <w:rPr>
          <w:lang w:val="fr_FR" w:bidi="fr_FR"/>
        </w:rPr>
        <w:t>). Comme les sacrificateurs terrestres, il doit faire une offrande pour les péchés, mais son offrande est de la nouvelle alliance (</w:t>
      </w:r>
      <w:hyperlink r:id="rId36">
        <w:r>
          <w:rPr>
            <w:lang w:val="fr_FR" w:bidi="fr_FR"/>
          </w:rPr>
          <w:rPr>
            <w:color w:val="0000EE"/>
            <w:u w:val="single"/>
          </w:rPr>
          <w:t>8.7–13</w:t>
        </w:r>
      </w:hyperlink>
      <w:r>
        <w:rPr>
          <w:lang w:val="fr_FR" w:bidi="fr_FR"/>
        </w:rPr>
        <w:t>), alliance supérieure à l'ancienne (</w:t>
      </w:r>
      <w:hyperlink r:id="rId37">
        <w:r>
          <w:rPr>
            <w:lang w:val="fr_FR" w:bidi="fr_FR"/>
          </w:rPr>
          <w:rPr>
            <w:color w:val="0000EE"/>
            <w:u w:val="single"/>
          </w:rPr>
          <w:t>9.1–10.18</w:t>
        </w:r>
      </w:hyperlink>
      <w:r>
        <w:rPr>
          <w:lang w:val="fr_FR" w:bidi="fr_FR"/>
        </w:rPr>
        <w:t>).</w:t>
      </w:r>
    </w:p>
    <w:p>
      <w:pPr/>
      <w:r>
        <w:rPr>
          <w:lang w:val="fr_FR" w:bidi="fr_FR"/>
        </w:rPr>
      </w:r>
      <w:r>
        <w:rPr>
          <w:lang w:val="fr_FR" w:bidi="fr_FR"/>
        </w:rPr>
        <w:t>La dernière section principale (</w:t>
      </w:r>
      <w:hyperlink r:id="rId38">
        <w:r>
          <w:rPr>
            <w:lang w:val="fr_FR" w:bidi="fr_FR"/>
          </w:rPr>
          <w:rPr>
            <w:color w:val="0000EE"/>
            <w:u w:val="single"/>
          </w:rPr>
          <w:t>10.19–13.25</w:t>
        </w:r>
      </w:hyperlink>
      <w:r>
        <w:rPr>
          <w:lang w:val="fr_FR" w:bidi="fr_FR"/>
        </w:rPr>
        <w:t>) est une exhortation mettant les auditeurs au défi de répondre, dans la fidélité, au message donné au sujet du Christ. Le livre se termine par une bénédiction et une conclusion formelle (</w:t>
      </w:r>
      <w:hyperlink r:id="rId39">
        <w:r>
          <w:rPr>
            <w:lang w:val="fr_FR" w:bidi="fr_FR"/>
          </w:rPr>
          <w:rPr>
            <w:color w:val="0000EE"/>
            <w:u w:val="single"/>
          </w:rPr>
          <w:t>13.20–25</w:t>
        </w:r>
      </w:hyperlink>
      <w:r>
        <w:rPr>
          <w:lang w:val="fr_FR" w:bidi="fr_FR"/>
        </w:rPr>
        <w:t>).</w:t>
      </w:r>
    </w:p>
    <w:p>
      <w:pPr>
        <w:pStyle w:val="Heading2"/>
      </w:pPr>
      <w:r>
        <w:rPr>
          <w:lang w:val="fr_FR" w:bidi="fr_FR"/>
        </w:rPr>
        <w:t>Auteur</w:t>
      </w:r>
    </w:p>
    <w:p>
      <w:pPr/>
      <w:r>
        <w:rPr>
          <w:lang w:val="fr_FR" w:bidi="fr_FR"/>
        </w:rPr>
      </w:r>
      <w:r>
        <w:rPr>
          <w:lang w:val="fr_FR" w:bidi="fr_FR"/>
        </w:rP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pPr/>
      <w:r>
        <w:rPr>
          <w:lang w:val="fr_FR" w:bidi="fr_FR"/>
        </w:rPr>
      </w:r>
      <w:r>
        <w:rPr>
          <w:lang w:val="fr_FR" w:bidi="fr_FR"/>
        </w:rPr>
        <w:t xml:space="preserve">Presque tous les érudits s'accordent aujourd'hui à dire que Paul n'est pas l'auteur de l'épître aux Hébreux. Tout d'abord, en </w:t>
      </w:r>
      <w:hyperlink r:id="rId40">
        <w:r>
          <w:rPr>
            <w:lang w:val="fr_FR" w:bidi="fr_FR"/>
          </w:rPr>
          <w:rPr>
            <w:color w:val="0000EE"/>
            <w:u w:val="single"/>
          </w:rPr>
          <w:t>2.3</w:t>
        </w:r>
      </w:hyperlink>
      <w:r>
        <w:rPr>
          <w:lang w:val="fr_FR" w:bidi="fr_FR"/>
        </w:rPr>
        <w:t xml:space="preserve">, l'auteur est décrit comme ayant reçu la Bonne Nouvelle des témoins originaux ayant suivi le Christ, et cela ne ressemble pas du tout à Paul (voir </w:t>
      </w:r>
      <w:hyperlink r:id="rId41">
        <w:r>
          <w:rPr>
            <w:lang w:val="fr_FR" w:bidi="fr_FR"/>
          </w:rPr>
          <w:rPr>
            <w:color w:val="0000EE"/>
            <w:u w:val="single"/>
          </w:rPr>
          <w:t>Rm 1.1</w:t>
        </w:r>
      </w:hyperlink>
      <w:r>
        <w:rPr>
          <w:lang w:val="fr_FR" w:bidi="fr_FR"/>
        </w:rPr>
        <w:t xml:space="preserve"> ; </w:t>
      </w:r>
      <w:hyperlink r:id="rId42">
        <w:r>
          <w:rPr>
            <w:lang w:val="fr_FR" w:bidi="fr_FR"/>
          </w:rPr>
          <w:rPr>
            <w:color w:val="0000EE"/>
            <w:u w:val="single"/>
          </w:rPr>
          <w:t>1Co 15.8</w:t>
        </w:r>
      </w:hyperlink>
      <w:r>
        <w:rPr>
          <w:lang w:val="fr_FR" w:bidi="fr_FR"/>
        </w:rPr>
        <w:t xml:space="preserve"> ; </w:t>
      </w:r>
      <w:hyperlink r:id="rId43">
        <w:r>
          <w:rPr>
            <w:lang w:val="fr_FR" w:bidi="fr_FR"/>
          </w:rPr>
          <w:rPr>
            <w:color w:val="0000EE"/>
            <w:u w:val="single"/>
          </w:rPr>
          <w:t>Ga 1.11–16</w:t>
        </w:r>
      </w:hyperlink>
      <w:r>
        <w:rPr>
          <w:lang w:val="fr_FR" w:bidi="fr_FR"/>
        </w:rPr>
        <w:t>). Deuxièmement, le style, les images théologiques et le vocabulaire sont très différents des siens ; par exemple, l'épître aux Hébreux utilise 169 mots que l'on ne trouve nulle part ailleurs dans le Nouveau Testament.</w:t>
      </w:r>
    </w:p>
    <w:p>
      <w:pPr/>
      <w:r>
        <w:rPr>
          <w:lang w:val="fr_FR" w:bidi="fr_FR"/>
        </w:rPr>
      </w:r>
      <w:r>
        <w:rPr>
          <w:lang w:val="fr_FR" w:bidi="fr_FR"/>
        </w:rP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hyperlink r:id="rId44">
        <w:r>
          <w:rPr>
            <w:lang w:val="fr_FR" w:bidi="fr_FR"/>
          </w:rPr>
          <w:rPr>
            <w:color w:val="0000EE"/>
            <w:u w:val="single"/>
          </w:rPr>
          <w:t>Actes 18.24–26</w:t>
        </w:r>
      </w:hyperlink>
      <w:r>
        <w:rPr>
          <w:lang w:val="fr_FR" w:bidi="fr_FR"/>
        </w:rPr>
        <w:t xml:space="preserve"> comme un homme éloquent d'Alexandrie, un puissant orateur et prédicateur.</w:t>
      </w:r>
    </w:p>
    <w:p>
      <w:pPr/>
      <w:r>
        <w:rPr>
          <w:lang w:val="fr_FR" w:bidi="fr_FR"/>
        </w:rPr>
      </w:r>
      <w:r>
        <w:rPr>
          <w:lang w:val="fr_FR" w:bidi="fr_FR"/>
        </w:rP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2"/>
      </w:pPr>
      <w:r>
        <w:rPr>
          <w:lang w:val="fr_FR" w:bidi="fr_FR"/>
        </w:rPr>
        <w:t>Destinataires</w:t>
      </w:r>
    </w:p>
    <w:p>
      <w:pPr/>
      <w:r>
        <w:rPr>
          <w:lang w:val="fr_FR" w:bidi="fr_FR"/>
        </w:rPr>
      </w:r>
      <w:r>
        <w:rPr>
          <w:lang w:val="fr_FR" w:bidi="fr_FR"/>
        </w:rPr>
        <w:t>L'auteur écrit : « Saluez tous vos conducteurs, et tous les saints. Ceux d'Italie vous saluent » (</w:t>
      </w:r>
      <w:hyperlink r:id="rId45">
        <w:r>
          <w:rPr>
            <w:lang w:val="fr_FR" w:bidi="fr_FR"/>
          </w:rPr>
          <w:rPr>
            <w:color w:val="0000EE"/>
            <w:u w:val="single"/>
          </w:rPr>
          <w:t>Hé 13.24</w:t>
        </w:r>
      </w:hyperlink>
      <w:r>
        <w:rPr>
          <w:lang w:val="fr_FR" w:bidi="fr_FR"/>
        </w:rPr>
        <w:t>). L'auteur semble avoir écrit à des chrétiens vivant en Italie, probablement à Rome, y envoyant les salutations de chrétiens italiens ayant voyagé à l'étranger.</w:t>
      </w:r>
    </w:p>
    <w:p>
      <w:pPr/>
      <w:r>
        <w:rPr>
          <w:lang w:val="fr_FR" w:bidi="fr_FR"/>
        </w:rPr>
      </w:r>
      <w:r>
        <w:rPr>
          <w:lang w:val="fr_FR" w:bidi="fr_FR"/>
        </w:rP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2"/>
      </w:pPr>
      <w:r>
        <w:rPr>
          <w:lang w:val="fr_FR" w:bidi="fr_FR"/>
        </w:rPr>
        <w:t>Occasion</w:t>
      </w:r>
    </w:p>
    <w:p>
      <w:pPr/>
      <w:r>
        <w:rPr>
          <w:lang w:val="fr_FR" w:bidi="fr_FR"/>
        </w:rPr>
      </w:r>
      <w:r>
        <w:rPr>
          <w:lang w:val="fr_FR" w:bidi="fr_FR"/>
        </w:rPr>
        <w:t xml:space="preserve">Certains membres de la communauté chrétienne luttent manifestement pour maintenir leur engagement spirituel face à la persécution. Des passages comme </w:t>
      </w:r>
      <w:hyperlink r:id="rId46">
        <w:r>
          <w:rPr>
            <w:lang w:val="fr_FR" w:bidi="fr_FR"/>
          </w:rPr>
          <w:rPr>
            <w:color w:val="0000EE"/>
            <w:u w:val="single"/>
          </w:rPr>
          <w:t>Hébreux 10.32–39</w:t>
        </w:r>
      </w:hyperlink>
      <w:r>
        <w:rPr>
          <w:lang w:val="fr_FR" w:bidi="fr_FR"/>
        </w:rP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pPr/>
      <w:r>
        <w:rPr>
          <w:lang w:val="fr_FR" w:bidi="fr_FR"/>
        </w:rPr>
      </w:r>
      <w:r>
        <w:rPr>
          <w:lang w:val="fr_FR" w:bidi="fr_FR"/>
        </w:rP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hyperlink r:id="rId47">
        <w:r>
          <w:rPr>
            <w:lang w:val="fr_FR" w:bidi="fr_FR"/>
          </w:rPr>
          <w:rPr>
            <w:color w:val="0000EE"/>
            <w:u w:val="single"/>
          </w:rPr>
          <w:t>12.4</w:t>
        </w:r>
      </w:hyperlink>
      <w:r>
        <w:rPr>
          <w:lang w:val="fr_FR" w:bidi="fr_FR"/>
        </w:rPr>
        <w:t>), bien que la pression de la persécution s'intensifie.</w:t>
      </w:r>
    </w:p>
    <w:p>
      <w:pPr>
        <w:pStyle w:val="Heading2"/>
      </w:pPr>
      <w:r>
        <w:rPr>
          <w:lang w:val="fr_FR" w:bidi="fr_FR"/>
        </w:rPr>
        <w:t>Signification et message</w:t>
      </w:r>
    </w:p>
    <w:p>
      <w:pPr/>
      <w:r>
        <w:rPr>
          <w:lang w:val="fr_FR" w:bidi="fr_FR"/>
        </w:rPr>
      </w:r>
      <w:r>
        <w:rPr>
          <w:lang w:val="fr_FR" w:bidi="fr_FR"/>
        </w:rPr>
        <w:t>Dieu a parlé de son Fils et par son Fils (</w:t>
      </w:r>
      <w:hyperlink r:id="rId48">
        <w:r>
          <w:rPr>
            <w:lang w:val="fr_FR" w:bidi="fr_FR"/>
          </w:rPr>
          <w:rPr>
            <w:color w:val="0000EE"/>
            <w:u w:val="single"/>
          </w:rPr>
          <w:t>1.1–3</w:t>
        </w:r>
      </w:hyperlink>
      <w:r>
        <w:rPr>
          <w:lang w:val="fr_FR" w:bidi="fr_FR"/>
        </w:rPr>
        <w:t>), et les conséquences pour ceux qui n'écoutent pas et ne répondent pas par l'obéissance à cette parole sont désastreuses (</w:t>
      </w:r>
      <w:hyperlink r:id="rId49">
        <w:r>
          <w:rPr>
            <w:lang w:val="fr_FR" w:bidi="fr_FR"/>
          </w:rPr>
          <w:rPr>
            <w:color w:val="0000EE"/>
            <w:u w:val="single"/>
          </w:rPr>
          <w:t>2.1–3</w:t>
        </w:r>
      </w:hyperlink>
      <w:r>
        <w:rPr>
          <w:lang w:val="fr_FR" w:bidi="fr_FR"/>
        </w:rPr>
        <w:t>). En fin de compte, Jésus, le créateur de l'univers et celui qui le soutient (</w:t>
      </w:r>
      <w:hyperlink r:id="rId50">
        <w:r>
          <w:rPr>
            <w:lang w:val="fr_FR" w:bidi="fr_FR"/>
          </w:rPr>
          <w:rPr>
            <w:color w:val="0000EE"/>
            <w:u w:val="single"/>
          </w:rPr>
          <w:t>1.2–3</w:t>
        </w:r>
      </w:hyperlink>
      <w:r>
        <w:rPr>
          <w:lang w:val="fr_FR" w:bidi="fr_FR"/>
        </w:rPr>
        <w:t>), mettra de côté l'ordre créé comme quelqu'un enroule un vieux vêtement (</w:t>
      </w:r>
      <w:hyperlink r:id="rId51">
        <w:r>
          <w:rPr>
            <w:lang w:val="fr_FR" w:bidi="fr_FR"/>
          </w:rPr>
          <w:rPr>
            <w:color w:val="0000EE"/>
            <w:u w:val="single"/>
          </w:rPr>
          <w:t>1.10–12</w:t>
        </w:r>
      </w:hyperlink>
      <w:r>
        <w:rPr>
          <w:lang w:val="fr_FR" w:bidi="fr_FR"/>
        </w:rPr>
        <w:t>).</w:t>
      </w:r>
    </w:p>
    <w:p>
      <w:pPr/>
      <w:r>
        <w:rPr>
          <w:lang w:val="fr_FR" w:bidi="fr_FR"/>
        </w:rPr>
      </w:r>
      <w:r>
        <w:rPr>
          <w:lang w:val="fr_FR" w:bidi="fr_FR"/>
        </w:rPr>
        <w:t>Jésus est suprêmement digne de notre engagement, de notre adoration et de notre endurance dans la foi. Il est supérieur aux anges (</w:t>
      </w:r>
      <w:hyperlink r:id="rId52">
        <w:r>
          <w:rPr>
            <w:lang w:val="fr_FR" w:bidi="fr_FR"/>
          </w:rPr>
          <w:rPr>
            <w:color w:val="0000EE"/>
            <w:u w:val="single"/>
          </w:rPr>
          <w:t>1.5–14</w:t>
        </w:r>
      </w:hyperlink>
      <w:r>
        <w:rPr>
          <w:lang w:val="fr_FR" w:bidi="fr_FR"/>
        </w:rPr>
        <w:t>), à Moïse (</w:t>
      </w:r>
      <w:hyperlink r:id="rId53">
        <w:r>
          <w:rPr>
            <w:lang w:val="fr_FR" w:bidi="fr_FR"/>
          </w:rPr>
          <w:rPr>
            <w:color w:val="0000EE"/>
            <w:u w:val="single"/>
          </w:rPr>
          <w:t>3.1–6</w:t>
        </w:r>
      </w:hyperlink>
      <w:r>
        <w:rPr>
          <w:lang w:val="fr_FR" w:bidi="fr_FR"/>
        </w:rPr>
        <w:t>) et au sacerdoce lévitique de l'ancienne alliance (</w:t>
      </w:r>
      <w:hyperlink r:id="rId31">
        <w:r>
          <w:rPr>
            <w:lang w:val="fr_FR" w:bidi="fr_FR"/>
          </w:rPr>
          <w:rPr>
            <w:color w:val="0000EE"/>
            <w:u w:val="single"/>
          </w:rPr>
          <w:t>5.1–10</w:t>
        </w:r>
      </w:hyperlink>
      <w:r>
        <w:rPr>
          <w:lang w:val="fr_FR" w:bidi="fr_FR"/>
        </w:rPr>
        <w:t xml:space="preserve"> ; </w:t>
      </w:r>
      <w:hyperlink r:id="rId54">
        <w:r>
          <w:rPr>
            <w:lang w:val="fr_FR" w:bidi="fr_FR"/>
          </w:rPr>
          <w:rPr>
            <w:color w:val="0000EE"/>
            <w:u w:val="single"/>
          </w:rPr>
          <w:t>7.1–28</w:t>
        </w:r>
      </w:hyperlink>
      <w:r>
        <w:rPr>
          <w:lang w:val="fr_FR" w:bidi="fr_FR"/>
        </w:rPr>
        <w:t>).</w:t>
      </w:r>
    </w:p>
    <w:p>
      <w:pPr/>
      <w:r>
        <w:rPr>
          <w:lang w:val="fr_FR" w:bidi="fr_FR"/>
        </w:rPr>
      </w:r>
      <w:r>
        <w:rPr>
          <w:lang w:val="fr_FR" w:bidi="fr_FR"/>
        </w:rPr>
        <w:t>Jésus a établi une nouvelle alliance céleste, s'offrant lui-même une fois pour toutes par sa propre mort (</w:t>
      </w:r>
      <w:hyperlink r:id="rId35">
        <w:r>
          <w:rPr>
            <w:lang w:val="fr_FR" w:bidi="fr_FR"/>
          </w:rPr>
          <w:rPr>
            <w:color w:val="0000EE"/>
            <w:u w:val="single"/>
          </w:rPr>
          <w:t>8.3–10.18</w:t>
        </w:r>
      </w:hyperlink>
      <w:r>
        <w:rPr>
          <w:lang w:val="fr_FR" w:bidi="fr_FR"/>
        </w:rPr>
        <w:t>). Dans son incarnation, il a fait preuve de l'endurance d'un Fils fidèle (</w:t>
      </w:r>
      <w:hyperlink r:id="rId53">
        <w:r>
          <w:rPr>
            <w:lang w:val="fr_FR" w:bidi="fr_FR"/>
          </w:rPr>
          <w:rPr>
            <w:color w:val="0000EE"/>
            <w:u w:val="single"/>
          </w:rPr>
          <w:t>3.1–6</w:t>
        </w:r>
      </w:hyperlink>
      <w:r>
        <w:rPr>
          <w:lang w:val="fr_FR" w:bidi="fr_FR"/>
        </w:rPr>
        <w:t xml:space="preserve"> ; </w:t>
      </w:r>
      <w:hyperlink r:id="rId55">
        <w:r>
          <w:rPr>
            <w:lang w:val="fr_FR" w:bidi="fr_FR"/>
          </w:rPr>
          <w:rPr>
            <w:color w:val="0000EE"/>
            <w:u w:val="single"/>
          </w:rPr>
          <w:t>5.7–8</w:t>
        </w:r>
      </w:hyperlink>
      <w:r>
        <w:rPr>
          <w:lang w:val="fr_FR" w:bidi="fr_FR"/>
        </w:rPr>
        <w:t xml:space="preserve"> ; </w:t>
      </w:r>
      <w:hyperlink r:id="rId56">
        <w:r>
          <w:rPr>
            <w:lang w:val="fr_FR" w:bidi="fr_FR"/>
          </w:rPr>
          <w:rPr>
            <w:color w:val="0000EE"/>
            <w:u w:val="single"/>
          </w:rPr>
          <w:t>12.1–2</w:t>
        </w:r>
      </w:hyperlink>
      <w:r>
        <w:rPr>
          <w:lang w:val="fr_FR" w:bidi="fr_FR"/>
        </w:rPr>
        <w:t>), et dans son exaltation, il règne en tant que Seigneur suprême de l'univers (</w:t>
      </w:r>
      <w:hyperlink r:id="rId57">
        <w:r>
          <w:rPr>
            <w:lang w:val="fr_FR" w:bidi="fr_FR"/>
          </w:rPr>
          <w:rPr>
            <w:color w:val="0000EE"/>
            <w:u w:val="single"/>
          </w:rPr>
          <w:t>1.2–4</w:t>
        </w:r>
      </w:hyperlink>
      <w:r>
        <w:rPr>
          <w:lang w:val="fr_FR" w:bidi="fr_FR"/>
        </w:rPr>
        <w:t xml:space="preserve">, </w:t>
      </w:r>
      <w:hyperlink r:id="rId58">
        <w:r>
          <w:rPr>
            <w:lang w:val="fr_FR" w:bidi="fr_FR"/>
          </w:rPr>
          <w:rPr>
            <w:color w:val="0000EE"/>
            <w:u w:val="single"/>
          </w:rPr>
          <w:t>8–13</w:t>
        </w:r>
      </w:hyperlink>
      <w:r>
        <w:rPr>
          <w:lang w:val="fr_FR" w:bidi="fr_FR"/>
        </w:rPr>
        <w:t>). Il nous offre ainsi une base supérieure pour persévérer dans la vie chrétienne et espérer quant à l'avenir.</w:t>
      </w:r>
    </w:p>
    <w:p>
      <w:pPr/>
      <w:r>
        <w:rPr>
          <w:lang w:val="fr_FR" w:bidi="fr_FR"/>
        </w:rPr>
      </w:r>
      <w:r>
        <w:rPr>
          <w:lang w:val="fr_FR" w:bidi="fr_FR"/>
        </w:rPr>
        <w:t xml:space="preserve">Nous pouvons également nous tourner vers les exemples positifs d'autres personnes qui se sont montrées fidèles dans leur cheminement vers la cité éternelle de Dieu (voir </w:t>
      </w:r>
      <w:hyperlink r:id="rId59">
        <w:r>
          <w:rPr>
            <w:lang w:val="fr_FR" w:bidi="fr_FR"/>
          </w:rPr>
          <w:rPr>
            <w:color w:val="0000EE"/>
            <w:u w:val="single"/>
          </w:rPr>
          <w:t>6.13–15</w:t>
        </w:r>
      </w:hyperlink>
      <w:r>
        <w:rPr>
          <w:lang w:val="fr_FR" w:bidi="fr_FR"/>
        </w:rPr>
        <w:t xml:space="preserve"> ; </w:t>
      </w:r>
      <w:hyperlink r:id="rId46">
        <w:r>
          <w:rPr>
            <w:lang w:val="fr_FR" w:bidi="fr_FR"/>
          </w:rPr>
          <w:rPr>
            <w:color w:val="0000EE"/>
            <w:u w:val="single"/>
          </w:rPr>
          <w:t>10.32–39</w:t>
        </w:r>
      </w:hyperlink>
      <w:r>
        <w:rPr>
          <w:lang w:val="fr_FR" w:bidi="fr_FR"/>
        </w:rPr>
        <w:t xml:space="preserve"> ; </w:t>
      </w:r>
      <w:hyperlink r:id="rId60">
        <w:r>
          <w:rPr>
            <w:lang w:val="fr_FR" w:bidi="fr_FR"/>
          </w:rPr>
          <w:rPr>
            <w:color w:val="0000EE"/>
            <w:u w:val="single"/>
          </w:rPr>
          <w:t>11.1–40</w:t>
        </w:r>
      </w:hyperlink>
      <w:r>
        <w:rPr>
          <w:lang w:val="fr_FR" w:bidi="fr_FR"/>
        </w:rPr>
        <w:t xml:space="preserve">), et vers les exemples négatifs de ceux qui sont tombés dans la désobéissance (voir </w:t>
      </w:r>
      <w:hyperlink r:id="rId61">
        <w:r>
          <w:rPr>
            <w:lang w:val="fr_FR" w:bidi="fr_FR"/>
          </w:rPr>
          <w:rPr>
            <w:color w:val="0000EE"/>
            <w:u w:val="single"/>
          </w:rPr>
          <w:t>3.7–19</w:t>
        </w:r>
      </w:hyperlink>
      <w:r>
        <w:rPr>
          <w:lang w:val="fr_FR" w:bidi="fr_FR"/>
        </w:rPr>
        <w:t xml:space="preserve"> ; </w:t>
      </w:r>
      <w:hyperlink r:id="rId17">
        <w:r>
          <w:rPr>
            <w:lang w:val="fr_FR" w:bidi="fr_FR"/>
          </w:rPr>
          <w:rPr>
            <w:color w:val="0000EE"/>
            <w:u w:val="single"/>
          </w:rPr>
          <w:t>6.4–8</w:t>
        </w:r>
      </w:hyperlink>
      <w:r>
        <w:rPr>
          <w:lang w:val="fr_FR" w:bidi="fr_FR"/>
        </w:rPr>
        <w:t>). Nous pouvons également saisir les promesses de Dieu qui nous sont faites au sujet de notre héritage en tant que ses enfants (</w:t>
      </w:r>
      <w:hyperlink r:id="rId62">
        <w:r>
          <w:rPr>
            <w:lang w:val="fr_FR" w:bidi="fr_FR"/>
          </w:rPr>
          <w:rPr>
            <w:color w:val="0000EE"/>
            <w:u w:val="single"/>
          </w:rPr>
          <w:t>4.3–11</w:t>
        </w:r>
      </w:hyperlink>
      <w:r>
        <w:rPr>
          <w:lang w:val="fr_FR" w:bidi="fr_FR"/>
        </w:rPr>
        <w:t xml:space="preserve"> ; </w:t>
      </w:r>
      <w:hyperlink r:id="rId63">
        <w:r>
          <w:rPr>
            <w:lang w:val="fr_FR" w:bidi="fr_FR"/>
          </w:rPr>
          <w:rPr>
            <w:color w:val="0000EE"/>
            <w:u w:val="single"/>
          </w:rPr>
          <w:t>6.13–20</w:t>
        </w:r>
      </w:hyperlink>
      <w:r>
        <w:rPr>
          <w:lang w:val="fr_FR" w:bidi="fr_FR"/>
        </w:rPr>
        <w:t xml:space="preserve"> ; </w:t>
      </w:r>
      <w:hyperlink r:id="rId64">
        <w:r>
          <w:rPr>
            <w:lang w:val="fr_FR" w:bidi="fr_FR"/>
          </w:rPr>
          <w:rPr>
            <w:color w:val="0000EE"/>
            <w:u w:val="single"/>
          </w:rPr>
          <w:t>12.22–24</w:t>
        </w:r>
      </w:hyperlink>
      <w:r>
        <w:rPr>
          <w:lang w:val="fr_FR" w:bidi="fr_FR"/>
        </w:rPr>
        <w:t>).</w:t>
      </w:r>
    </w:p>
    <w:p>
      <w:pPr/>
      <w:r>
        <w:rPr>
          <w:lang w:val="fr_FR" w:bidi="fr_FR"/>
        </w:rPr>
      </w:r>
      <w:r>
        <w:rPr>
          <w:lang w:val="fr_FR" w:bidi="fr_FR"/>
        </w:rPr>
        <w:t>Grâce à Jésus, nous pouvons vivre en tant que membres fidèles de la communauté chrétienne dans nos relations et dans notre adoration (</w:t>
      </w:r>
      <w:hyperlink r:id="rId65">
        <w:r>
          <w:rPr>
            <w:lang w:val="fr_FR" w:bidi="fr_FR"/>
          </w:rPr>
          <w:rPr>
            <w:color w:val="0000EE"/>
            <w:u w:val="single"/>
          </w:rPr>
          <w:t>13.1–17</w:t>
        </w:r>
      </w:hyperlink>
      <w:r>
        <w:rPr>
          <w:lang w:val="fr_FR" w:bidi="fr_FR"/>
        </w:rPr>
        <w:t>). Notre persévérance dans la foi chrétienne sera directement proportionnelle à notre bonne compréhension de l'identité de Jésus et de ce qu'il a accompli pour nous.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