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3">
        <w:r>
          <w:rPr>
            <w:lang w:val="hi_IN" w:bidi="hi_IN"/>
          </w:rPr>
          <w:rPr>
            <w:color w:val="0000EE"/>
            <w:u w:val="single"/>
          </w:rPr>
          <w:t>प्रेरितों 2:10</w:t>
        </w:r>
      </w:hyperlink>
      <w:r>
        <w:rPr>
          <w:lang w:val="hi_IN" w:bidi="hi_IN"/>
        </w:rPr>
        <w:t>) के समय उपस्थित लोग अपने घर लौटे थे। रोमी विश्वासियों ने साहस और सहनशीलता का प्रदर्शन किया था (</w:t>
      </w:r>
      <w:hyperlink r:id="rId14">
        <w:r>
          <w:rPr>
            <w:lang w:val="hi_IN" w:bidi="hi_IN"/>
          </w:rPr>
          <w:rPr>
            <w:color w:val="0000EE"/>
            <w:u w:val="single"/>
          </w:rPr>
          <w:t>इब्रा 10:32–34</w:t>
        </w:r>
      </w:hyperlink>
      <w:r>
        <w:rPr>
          <w:lang w:val="hi_IN" w:bidi="hi_IN"/>
        </w:rPr>
        <w:t>), लेकिन इब्रानियों के लिखे जाने तक, कुछ लोगों का आत्मिक उत्साह ठंडा पड़ चुका था (</w:t>
      </w:r>
      <w:hyperlink r:id="rId15">
        <w:r>
          <w:rPr>
            <w:lang w:val="hi_IN" w:bidi="hi_IN"/>
          </w:rPr>
          <w:rPr>
            <w:color w:val="0000EE"/>
            <w:u w:val="single"/>
          </w:rPr>
          <w:t>5:11–14</w:t>
        </w:r>
      </w:hyperlink>
      <w:r>
        <w:rPr>
          <w:lang w:val="hi_IN" w:bidi="hi_IN"/>
        </w:rPr>
        <w:t>), और उनका धर्मवैज्ञानिक दृष्टिकोण विकृत हो चुका था (</w:t>
      </w:r>
      <w:hyperlink r:id="rId16">
        <w:r>
          <w:rPr>
            <w:lang w:val="hi_IN" w:bidi="hi_IN"/>
          </w:rPr>
          <w:rPr>
            <w:color w:val="0000EE"/>
            <w:u w:val="single"/>
          </w:rPr>
          <w:t>2:1</w:t>
        </w:r>
      </w:hyperlink>
      <w:r>
        <w:rPr>
          <w:lang w:val="hi_IN" w:bidi="hi_IN"/>
        </w:rPr>
        <w:t>)। कुछ लोगों ने मसीह और कलीसिया को भी छोड़ दिया था (</w:t>
      </w:r>
      <w:hyperlink r:id="rId17">
        <w:r>
          <w:rPr>
            <w:lang w:val="hi_IN" w:bidi="hi_IN"/>
          </w:rPr>
          <w:rPr>
            <w:color w:val="0000EE"/>
            <w:u w:val="single"/>
          </w:rPr>
          <w:t>6:4–8</w:t>
        </w:r>
      </w:hyperlink>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hyperlink r:id="rId18">
        <w:r>
          <w:rPr>
            <w:lang w:val="hi_IN" w:bidi="hi_IN"/>
          </w:rPr>
          <w:rPr>
            <w:color w:val="0000EE"/>
            <w:u w:val="single"/>
          </w:rPr>
          <w:t>1:1–4</w:t>
        </w:r>
      </w:hyperlink>
      <w:r>
        <w:rPr>
          <w:lang w:val="hi_IN" w:bidi="hi_IN"/>
        </w:rPr>
        <w:t>), मसीह की श्रेष्ठता के बारे में लेखक का विवरण दो महान भागों में विकसित होता है। पहला भाग (</w:t>
      </w:r>
      <w:hyperlink r:id="rId19">
        <w:r>
          <w:rPr>
            <w:lang w:val="hi_IN" w:bidi="hi_IN"/>
          </w:rPr>
          <w:rPr>
            <w:color w:val="0000EE"/>
            <w:u w:val="single"/>
          </w:rPr>
          <w:t>1:5–2:18</w:t>
        </w:r>
      </w:hyperlink>
      <w:r>
        <w:rPr>
          <w:lang w:val="hi_IN" w:bidi="hi_IN"/>
        </w:rPr>
        <w:t>) पुत्र के स्वर्गदूतों के साथ सम्बन्ध को समझाता है। स्वर्गदूत सेवक हैं (</w:t>
      </w:r>
      <w:hyperlink r:id="rId20">
        <w:r>
          <w:rPr>
            <w:lang w:val="hi_IN" w:bidi="hi_IN"/>
          </w:rPr>
          <w:rPr>
            <w:color w:val="0000EE"/>
            <w:u w:val="single"/>
          </w:rPr>
          <w:t>1:6–7</w:t>
        </w:r>
      </w:hyperlink>
      <w:r>
        <w:rPr>
          <w:lang w:val="hi_IN" w:bidi="hi_IN"/>
        </w:rPr>
        <w:t xml:space="preserve">, </w:t>
      </w:r>
      <w:hyperlink r:id="rId21">
        <w:r>
          <w:rPr>
            <w:lang w:val="hi_IN" w:bidi="hi_IN"/>
          </w:rPr>
          <w:rPr>
            <w:color w:val="0000EE"/>
            <w:u w:val="single"/>
          </w:rPr>
          <w:t>14</w:t>
        </w:r>
      </w:hyperlink>
      <w:r>
        <w:rPr>
          <w:lang w:val="hi_IN" w:bidi="hi_IN"/>
        </w:rPr>
        <w:t>), लेकिन गौरवान्वित पुत्र (</w:t>
      </w:r>
      <w:hyperlink r:id="rId22">
        <w:r>
          <w:rPr>
            <w:lang w:val="hi_IN" w:bidi="hi_IN"/>
          </w:rPr>
          <w:rPr>
            <w:color w:val="0000EE"/>
            <w:u w:val="single"/>
          </w:rPr>
          <w:t>1:13</w:t>
        </w:r>
      </w:hyperlink>
      <w:r>
        <w:rPr>
          <w:lang w:val="hi_IN" w:bidi="hi_IN"/>
        </w:rPr>
        <w:t>), पिता के साथ अपने अद्वितीय सम्बन्ध के कारण (</w:t>
      </w:r>
      <w:hyperlink r:id="rId23">
        <w:r>
          <w:rPr>
            <w:lang w:val="hi_IN" w:bidi="hi_IN"/>
          </w:rPr>
          <w:rPr>
            <w:color w:val="0000EE"/>
            <w:u w:val="single"/>
          </w:rPr>
          <w:t>1:5</w:t>
        </w:r>
      </w:hyperlink>
      <w:r>
        <w:rPr>
          <w:lang w:val="hi_IN" w:bidi="hi_IN"/>
        </w:rPr>
        <w:t>), प्रभु, सृष्टिकर्ता, और सृष्टि के पालनकर्ता हैं, वास्तव में वह परमेश्वर हैं (</w:t>
      </w:r>
      <w:hyperlink r:id="rId24">
        <w:r>
          <w:rPr>
            <w:lang w:val="hi_IN" w:bidi="hi_IN"/>
          </w:rPr>
          <w:rPr>
            <w:color w:val="0000EE"/>
            <w:u w:val="single"/>
          </w:rPr>
          <w:t>1:8–12</w:t>
        </w:r>
      </w:hyperlink>
      <w:r>
        <w:rPr>
          <w:lang w:val="hi_IN" w:bidi="hi_IN"/>
        </w:rPr>
        <w:t>)। लेखक श्रोताओं को उनको सिखाया गए उद्धार के संदेश पर ध्यान देने के लिए प्रोत्साहित करता है (</w:t>
      </w:r>
      <w:hyperlink r:id="rId25">
        <w:r>
          <w:rPr>
            <w:lang w:val="hi_IN" w:bidi="hi_IN"/>
          </w:rPr>
          <w:rPr>
            <w:color w:val="0000EE"/>
            <w:u w:val="single"/>
          </w:rPr>
          <w:t>2:1–4</w:t>
        </w:r>
      </w:hyperlink>
      <w:r>
        <w:rPr>
          <w:lang w:val="hi_IN" w:bidi="hi_IN"/>
        </w:rPr>
        <w:t>), और व्याख्या फिर से शुरू करता है। गौरवान्वित मसीह की स्थिति अस्थायी रूप से स्वर्गदूतों से नीचे थी जब वह मानव बने (</w:t>
      </w:r>
      <w:hyperlink r:id="rId26">
        <w:r>
          <w:rPr>
            <w:lang w:val="hi_IN" w:bidi="hi_IN"/>
          </w:rPr>
          <w:rPr>
            <w:color w:val="0000EE"/>
            <w:u w:val="single"/>
          </w:rPr>
          <w:t>2:5–9</w:t>
        </w:r>
      </w:hyperlink>
      <w:r>
        <w:rPr>
          <w:lang w:val="hi_IN" w:bidi="hi_IN"/>
        </w:rPr>
        <w:t>); यीशु ने हमें मुक्त करने के लिए अपने प्राण देने के उद्देश्य से मांस और लहू धारण किया (</w:t>
      </w:r>
      <w:hyperlink r:id="rId27">
        <w:r>
          <w:rPr>
            <w:lang w:val="hi_IN" w:bidi="hi_IN"/>
          </w:rPr>
          <w:rPr>
            <w:color w:val="0000EE"/>
            <w:u w:val="single"/>
          </w:rPr>
          <w:t>2:10–18</w:t>
        </w:r>
      </w:hyperlink>
      <w:r>
        <w:rPr>
          <w:lang w:val="hi_IN" w:bidi="hi_IN"/>
        </w:rPr>
        <w:t>)। प्रथम व्याख्या के बाद प्रोत्साहन दिया गया है (</w:t>
      </w:r>
      <w:hyperlink r:id="rId28">
        <w:r>
          <w:rPr>
            <w:lang w:val="hi_IN" w:bidi="hi_IN"/>
          </w:rPr>
          <w:rPr>
            <w:color w:val="0000EE"/>
            <w:u w:val="single"/>
          </w:rPr>
          <w:t>3:1–4:13</w:t>
        </w:r>
      </w:hyperlink>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hyperlink r:id="rId29">
        <w:r>
          <w:rPr>
            <w:lang w:val="hi_IN" w:bidi="hi_IN"/>
          </w:rPr>
          <w:rPr>
            <w:color w:val="0000EE"/>
            <w:u w:val="single"/>
          </w:rPr>
          <w:t>4:14–10:18</w:t>
        </w:r>
      </w:hyperlink>
      <w:r>
        <w:rPr>
          <w:lang w:val="hi_IN" w:bidi="hi_IN"/>
        </w:rPr>
        <w:t xml:space="preserve">) पुराने नियम की बलिदान प्रणाली के संबंध में पुत्र, हमारे महायाजक की स्थिति को संबोधित करता है। इस प्रसंग का परिचय देने के बाद </w:t>
      </w:r>
      <w:hyperlink r:id="rId30">
        <w:r>
          <w:rPr>
            <w:lang w:val="hi_IN" w:bidi="hi_IN"/>
          </w:rPr>
          <w:rPr>
            <w:color w:val="0000EE"/>
            <w:u w:val="single"/>
          </w:rPr>
          <w:t>4:14–16</w:t>
        </w:r>
      </w:hyperlink>
      <w:r>
        <w:rPr>
          <w:lang w:val="hi_IN" w:bidi="hi_IN"/>
        </w:rPr>
        <w:t>, लेखक श्रेष्ठ महायाजक के रूप में पुत्र की नियुक्ति को संबोधित करता है (</w:t>
      </w:r>
      <w:hyperlink r:id="rId31">
        <w:r>
          <w:rPr>
            <w:lang w:val="hi_IN" w:bidi="hi_IN"/>
          </w:rPr>
          <w:rPr>
            <w:color w:val="0000EE"/>
            <w:u w:val="single"/>
          </w:rPr>
          <w:t>5:1–10</w:t>
        </w:r>
      </w:hyperlink>
      <w:r>
        <w:rPr>
          <w:lang w:val="hi_IN" w:bidi="hi_IN"/>
        </w:rPr>
        <w:t>) और समुदाय का उनकी आत्मिक अपरिपक्वता से सामना कराता है (</w:t>
      </w:r>
      <w:hyperlink r:id="rId32">
        <w:r>
          <w:rPr>
            <w:lang w:val="hi_IN" w:bidi="hi_IN"/>
          </w:rPr>
          <w:rPr>
            <w:color w:val="0000EE"/>
            <w:u w:val="single"/>
          </w:rPr>
          <w:t>5:11–6:20</w:t>
        </w:r>
      </w:hyperlink>
      <w:r>
        <w:rPr>
          <w:lang w:val="hi_IN" w:bidi="hi_IN"/>
        </w:rPr>
        <w:t>)। लेवीय याजकों से मलिकिसिदक की श्रेष्ठता की चर्चा (</w:t>
      </w:r>
      <w:hyperlink r:id="rId33">
        <w:r>
          <w:rPr>
            <w:lang w:val="hi_IN" w:bidi="hi_IN"/>
          </w:rPr>
          <w:rPr>
            <w:color w:val="0000EE"/>
            <w:u w:val="single"/>
          </w:rPr>
          <w:t>7:1–10</w:t>
        </w:r>
      </w:hyperlink>
      <w:r>
        <w:rPr>
          <w:lang w:val="hi_IN" w:bidi="hi_IN"/>
        </w:rPr>
        <w:t>), मलिकिसिदक के क्रम के अनुसार यीशु को श्रेष्ठ महायाजक के रूप में प्रस्तुत करने का आधार तैयार करती है (</w:t>
      </w:r>
      <w:hyperlink r:id="rId34">
        <w:r>
          <w:rPr>
            <w:lang w:val="hi_IN" w:bidi="hi_IN"/>
          </w:rPr>
          <w:rPr>
            <w:color w:val="0000EE"/>
            <w:u w:val="single"/>
          </w:rPr>
          <w:t>7:11–28</w:t>
        </w:r>
      </w:hyperlink>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5">
        <w:r>
          <w:rPr>
            <w:lang w:val="hi_IN" w:bidi="hi_IN"/>
          </w:rPr>
          <w:rPr>
            <w:color w:val="0000EE"/>
            <w:u w:val="single"/>
          </w:rPr>
          <w:t>8:3–10:18</w:t>
        </w:r>
      </w:hyperlink>
      <w:r>
        <w:rPr>
          <w:lang w:val="hi_IN" w:bidi="hi_IN"/>
        </w:rPr>
        <w:t>)। सांसारिक याजकों की तरह, इस श्रेष्ठ याजक को भी पापों के लिए बलिदान चढ़ाना था, लेकिन उनका बलिदान नई वाचा का बलिदान था (</w:t>
      </w:r>
      <w:hyperlink r:id="rId36">
        <w:r>
          <w:rPr>
            <w:lang w:val="hi_IN" w:bidi="hi_IN"/>
          </w:rPr>
          <w:rPr>
            <w:color w:val="0000EE"/>
            <w:u w:val="single"/>
          </w:rPr>
          <w:t>8:7–13</w:t>
        </w:r>
      </w:hyperlink>
      <w:r>
        <w:rPr>
          <w:lang w:val="hi_IN" w:bidi="hi_IN"/>
        </w:rPr>
        <w:t>) जो पुरानी वाचा से श्रेष्ठ था (</w:t>
      </w:r>
      <w:hyperlink r:id="rId37">
        <w:r>
          <w:rPr>
            <w:lang w:val="hi_IN" w:bidi="hi_IN"/>
          </w:rPr>
          <w:rPr>
            <w:color w:val="0000EE"/>
            <w:u w:val="single"/>
          </w:rPr>
          <w:t>9:1–10:18</w:t>
        </w:r>
      </w:hyperlink>
      <w:r>
        <w:rPr>
          <w:lang w:val="hi_IN" w:bidi="hi_IN"/>
        </w:rPr>
        <w:t>)।</w:t>
      </w:r>
    </w:p>
    <w:p>
      <w:pPr/>
      <w:r>
        <w:rPr>
          <w:lang w:val="hi_IN" w:bidi="hi_IN"/>
        </w:rPr>
      </w:r>
      <w:r>
        <w:rPr>
          <w:lang w:val="hi_IN" w:bidi="hi_IN"/>
        </w:rPr>
        <w:t>अंतिम मुख्य भाग (</w:t>
      </w:r>
      <w:hyperlink r:id="rId38">
        <w:r>
          <w:rPr>
            <w:lang w:val="hi_IN" w:bidi="hi_IN"/>
          </w:rPr>
          <w:rPr>
            <w:color w:val="0000EE"/>
            <w:u w:val="single"/>
          </w:rPr>
          <w:t>10:19–13:25</w:t>
        </w:r>
      </w:hyperlink>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39">
        <w:r>
          <w:rPr>
            <w:lang w:val="hi_IN" w:bidi="hi_IN"/>
          </w:rPr>
          <w:rPr>
            <w:color w:val="0000EE"/>
            <w:u w:val="single"/>
          </w:rPr>
          <w:t>13:20–25</w:t>
        </w:r>
      </w:hyperlink>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hyperlink r:id="rId40">
        <w:r>
          <w:rPr>
            <w:lang w:val="hi_IN" w:bidi="hi_IN"/>
          </w:rPr>
          <w:rPr>
            <w:color w:val="0000EE"/>
            <w:u w:val="single"/>
          </w:rPr>
          <w:t>2:3</w:t>
        </w:r>
      </w:hyperlink>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1">
        <w:r>
          <w:rPr>
            <w:lang w:val="hi_IN" w:bidi="hi_IN"/>
          </w:rPr>
          <w:rPr>
            <w:color w:val="0000EE"/>
            <w:u w:val="single"/>
          </w:rPr>
          <w:t>रोम 1:1</w:t>
        </w:r>
      </w:hyperlink>
      <w:r>
        <w:rPr>
          <w:lang w:val="hi_IN" w:bidi="hi_IN"/>
        </w:rPr>
        <w:t xml:space="preserve">; </w:t>
      </w:r>
      <w:hyperlink r:id="rId42">
        <w:r>
          <w:rPr>
            <w:lang w:val="hi_IN" w:bidi="hi_IN"/>
          </w:rPr>
          <w:rPr>
            <w:color w:val="0000EE"/>
            <w:u w:val="single"/>
          </w:rPr>
          <w:t>1 कुरि 15:8</w:t>
        </w:r>
      </w:hyperlink>
      <w:r>
        <w:rPr>
          <w:lang w:val="hi_IN" w:bidi="hi_IN"/>
        </w:rPr>
        <w:t xml:space="preserve">; </w:t>
      </w:r>
      <w:hyperlink r:id="rId43">
        <w:r>
          <w:rPr>
            <w:lang w:val="hi_IN" w:bidi="hi_IN"/>
          </w:rPr>
          <w:rPr>
            <w:color w:val="0000EE"/>
            <w:u w:val="single"/>
          </w:rPr>
          <w:t>गला 1:11–16</w:t>
        </w:r>
      </w:hyperlink>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4">
        <w:r>
          <w:rPr>
            <w:lang w:val="hi_IN" w:bidi="hi_IN"/>
          </w:rPr>
          <w:rPr>
            <w:color w:val="0000EE"/>
            <w:u w:val="single"/>
          </w:rPr>
          <w:t>प्रेरितों 18:24–26</w:t>
        </w:r>
      </w:hyperlink>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hyperlink r:id="rId45">
        <w:r>
          <w:rPr>
            <w:lang w:val="hi_IN" w:bidi="hi_IN"/>
          </w:rPr>
          <w:rPr>
            <w:color w:val="0000EE"/>
            <w:u w:val="single"/>
          </w:rPr>
          <w:t>इब्रा 13:24</w:t>
        </w:r>
      </w:hyperlink>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hyperlink r:id="rId46">
        <w:r>
          <w:rPr>
            <w:lang w:val="hi_IN" w:bidi="hi_IN"/>
          </w:rPr>
          <w:rPr>
            <w:color w:val="0000EE"/>
            <w:u w:val="single"/>
          </w:rPr>
          <w:t>इब्रानियों 10:32–39</w:t>
        </w:r>
      </w:hyperlink>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7">
        <w:r>
          <w:rPr>
            <w:lang w:val="hi_IN" w:bidi="hi_IN"/>
          </w:rPr>
          <w:rPr>
            <w:color w:val="0000EE"/>
            <w:u w:val="single"/>
          </w:rPr>
          <w:t>12:4</w:t>
        </w:r>
      </w:hyperlink>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hyperlink r:id="rId48">
        <w:r>
          <w:rPr>
            <w:lang w:val="hi_IN" w:bidi="hi_IN"/>
          </w:rPr>
          <w:rPr>
            <w:color w:val="0000EE"/>
            <w:u w:val="single"/>
          </w:rPr>
          <w:t>1:1–3</w:t>
        </w:r>
      </w:hyperlink>
      <w:r>
        <w:rPr>
          <w:lang w:val="hi_IN" w:bidi="hi_IN"/>
        </w:rPr>
        <w:t>), और उन लोगों के लिए गंभीर परिणाम होंगे जो उन वचनों को नहीं सुनते और आज्ञाकारिता के साथ जवाब नहीं देते हैं (</w:t>
      </w:r>
      <w:hyperlink r:id="rId49">
        <w:r>
          <w:rPr>
            <w:lang w:val="hi_IN" w:bidi="hi_IN"/>
          </w:rPr>
          <w:rPr>
            <w:color w:val="0000EE"/>
            <w:u w:val="single"/>
          </w:rPr>
          <w:t>2:1–3</w:t>
        </w:r>
      </w:hyperlink>
      <w:r>
        <w:rPr>
          <w:lang w:val="hi_IN" w:bidi="hi_IN"/>
        </w:rPr>
        <w:t>)। अंत में, यीशु, जो सृष्टि के रचयिता और पालनकर्ता हैं (</w:t>
      </w:r>
      <w:hyperlink r:id="rId50">
        <w:r>
          <w:rPr>
            <w:lang w:val="hi_IN" w:bidi="hi_IN"/>
          </w:rPr>
          <w:rPr>
            <w:color w:val="0000EE"/>
            <w:u w:val="single"/>
          </w:rPr>
          <w:t>1:2–3</w:t>
        </w:r>
      </w:hyperlink>
      <w:r>
        <w:rPr>
          <w:lang w:val="hi_IN" w:bidi="hi_IN"/>
        </w:rPr>
        <w:t>), सृजित व्यवस्था को ऐसे हटा देंगे जैसे कोई व्यक्ति पुराने वस्त्र को लपेट लेता है (</w:t>
      </w:r>
      <w:hyperlink r:id="rId51">
        <w:r>
          <w:rPr>
            <w:lang w:val="hi_IN" w:bidi="hi_IN"/>
          </w:rPr>
          <w:rPr>
            <w:color w:val="0000EE"/>
            <w:u w:val="single"/>
          </w:rPr>
          <w:t>1:10–12</w:t>
        </w:r>
      </w:hyperlink>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hyperlink r:id="rId52">
        <w:r>
          <w:rPr>
            <w:lang w:val="hi_IN" w:bidi="hi_IN"/>
          </w:rPr>
          <w:rPr>
            <w:color w:val="0000EE"/>
            <w:u w:val="single"/>
          </w:rPr>
          <w:t>1:5–14</w:t>
        </w:r>
      </w:hyperlink>
      <w:r>
        <w:rPr>
          <w:lang w:val="hi_IN" w:bidi="hi_IN"/>
        </w:rPr>
        <w:t>), मूसा से (</w:t>
      </w:r>
      <w:hyperlink r:id="rId53">
        <w:r>
          <w:rPr>
            <w:lang w:val="hi_IN" w:bidi="hi_IN"/>
          </w:rPr>
          <w:rPr>
            <w:color w:val="0000EE"/>
            <w:u w:val="single"/>
          </w:rPr>
          <w:t>3:1–6</w:t>
        </w:r>
      </w:hyperlink>
      <w:r>
        <w:rPr>
          <w:lang w:val="hi_IN" w:bidi="hi_IN"/>
        </w:rPr>
        <w:t>), और पुरानी वाचा की लेवीय याजकपद से भी श्रेष्ठ हैं (</w:t>
      </w:r>
      <w:hyperlink r:id="rId31">
        <w:r>
          <w:rPr>
            <w:lang w:val="hi_IN" w:bidi="hi_IN"/>
          </w:rPr>
          <w:rPr>
            <w:color w:val="0000EE"/>
            <w:u w:val="single"/>
          </w:rPr>
          <w:t>5:1–10</w:t>
        </w:r>
      </w:hyperlink>
      <w:r>
        <w:rPr>
          <w:lang w:val="hi_IN" w:bidi="hi_IN"/>
        </w:rPr>
        <w:t xml:space="preserve">; </w:t>
      </w:r>
      <w:hyperlink r:id="rId54">
        <w:r>
          <w:rPr>
            <w:lang w:val="hi_IN" w:bidi="hi_IN"/>
          </w:rPr>
          <w:rPr>
            <w:color w:val="0000EE"/>
            <w:u w:val="single"/>
          </w:rPr>
          <w:t>7:1–28</w:t>
        </w:r>
      </w:hyperlink>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hyperlink r:id="rId35">
        <w:r>
          <w:rPr>
            <w:lang w:val="hi_IN" w:bidi="hi_IN"/>
          </w:rPr>
          <w:rPr>
            <w:color w:val="0000EE"/>
            <w:u w:val="single"/>
          </w:rPr>
          <w:t>8:3–10:18</w:t>
        </w:r>
      </w:hyperlink>
      <w:r>
        <w:rPr>
          <w:lang w:val="hi_IN" w:bidi="hi_IN"/>
        </w:rPr>
        <w:t>)। अपने अवतार में उन्होंने एक विश्वासयोग्य पुत्र के रूप में धैर्यपूर्वक सहन किया (</w:t>
      </w:r>
      <w:hyperlink r:id="rId53">
        <w:r>
          <w:rPr>
            <w:lang w:val="hi_IN" w:bidi="hi_IN"/>
          </w:rPr>
          <w:rPr>
            <w:color w:val="0000EE"/>
            <w:u w:val="single"/>
          </w:rPr>
          <w:t>3:1–6</w:t>
        </w:r>
      </w:hyperlink>
      <w:r>
        <w:rPr>
          <w:lang w:val="hi_IN" w:bidi="hi_IN"/>
        </w:rPr>
        <w:t xml:space="preserve">; </w:t>
      </w:r>
      <w:hyperlink r:id="rId55">
        <w:r>
          <w:rPr>
            <w:lang w:val="hi_IN" w:bidi="hi_IN"/>
          </w:rPr>
          <w:rPr>
            <w:color w:val="0000EE"/>
            <w:u w:val="single"/>
          </w:rPr>
          <w:t>5:7–8</w:t>
        </w:r>
      </w:hyperlink>
      <w:r>
        <w:rPr>
          <w:lang w:val="hi_IN" w:bidi="hi_IN"/>
        </w:rPr>
        <w:t xml:space="preserve">; </w:t>
      </w:r>
      <w:hyperlink r:id="rId56">
        <w:r>
          <w:rPr>
            <w:lang w:val="hi_IN" w:bidi="hi_IN"/>
          </w:rPr>
          <w:rPr>
            <w:color w:val="0000EE"/>
            <w:u w:val="single"/>
          </w:rPr>
          <w:t>12:1–2</w:t>
        </w:r>
      </w:hyperlink>
      <w:r>
        <w:rPr>
          <w:lang w:val="hi_IN" w:bidi="hi_IN"/>
        </w:rPr>
        <w:t>), और अपने गौरवान्वित स्थिति में वह जगत के सर्वोच्च प्रभु के रूप में शासन करते हैं (</w:t>
      </w:r>
      <w:hyperlink r:id="rId57">
        <w:r>
          <w:rPr>
            <w:lang w:val="hi_IN" w:bidi="hi_IN"/>
          </w:rPr>
          <w:rPr>
            <w:color w:val="0000EE"/>
            <w:u w:val="single"/>
          </w:rPr>
          <w:t>1:2–4</w:t>
        </w:r>
      </w:hyperlink>
      <w:r>
        <w:rPr>
          <w:lang w:val="hi_IN" w:bidi="hi_IN"/>
        </w:rPr>
        <w:t xml:space="preserve">, </w:t>
      </w:r>
      <w:hyperlink r:id="rId58">
        <w:r>
          <w:rPr>
            <w:lang w:val="hi_IN" w:bidi="hi_IN"/>
          </w:rPr>
          <w:rPr>
            <w:color w:val="0000EE"/>
            <w:u w:val="single"/>
          </w:rPr>
          <w:t>8–13</w:t>
        </w:r>
      </w:hyperlink>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hyperlink r:id="rId59">
        <w:r>
          <w:rPr>
            <w:lang w:val="hi_IN" w:bidi="hi_IN"/>
          </w:rPr>
          <w:rPr>
            <w:color w:val="0000EE"/>
            <w:u w:val="single"/>
          </w:rPr>
          <w:t>6:13–15</w:t>
        </w:r>
      </w:hyperlink>
      <w:r>
        <w:rPr>
          <w:lang w:val="hi_IN" w:bidi="hi_IN"/>
        </w:rPr>
        <w:t xml:space="preserve">; </w:t>
      </w:r>
      <w:hyperlink r:id="rId46">
        <w:r>
          <w:rPr>
            <w:lang w:val="hi_IN" w:bidi="hi_IN"/>
          </w:rPr>
          <w:rPr>
            <w:color w:val="0000EE"/>
            <w:u w:val="single"/>
          </w:rPr>
          <w:t>10:32–39</w:t>
        </w:r>
      </w:hyperlink>
      <w:r>
        <w:rPr>
          <w:lang w:val="hi_IN" w:bidi="hi_IN"/>
        </w:rPr>
        <w:t xml:space="preserve">; </w:t>
      </w:r>
      <w:hyperlink r:id="rId60">
        <w:r>
          <w:rPr>
            <w:lang w:val="hi_IN" w:bidi="hi_IN"/>
          </w:rPr>
          <w:rPr>
            <w:color w:val="0000EE"/>
            <w:u w:val="single"/>
          </w:rPr>
          <w:t>11:1–40</w:t>
        </w:r>
      </w:hyperlink>
      <w:r>
        <w:rPr>
          <w:lang w:val="hi_IN" w:bidi="hi_IN"/>
        </w:rPr>
        <w:t>), और उन लोगों के नकारात्मक उदाहरण भी देख सकते हैं जो अवज्ञा के कारण गिर गए (</w:t>
      </w:r>
      <w:hyperlink r:id="rId61">
        <w:r>
          <w:rPr>
            <w:lang w:val="hi_IN" w:bidi="hi_IN"/>
          </w:rPr>
          <w:rPr>
            <w:color w:val="0000EE"/>
            <w:u w:val="single"/>
          </w:rPr>
          <w:t>3:7–19</w:t>
        </w:r>
      </w:hyperlink>
      <w:r>
        <w:rPr>
          <w:lang w:val="hi_IN" w:bidi="hi_IN"/>
        </w:rPr>
        <w:t xml:space="preserve">; </w:t>
      </w:r>
      <w:hyperlink r:id="rId17">
        <w:r>
          <w:rPr>
            <w:lang w:val="hi_IN" w:bidi="hi_IN"/>
          </w:rPr>
          <w:rPr>
            <w:color w:val="0000EE"/>
            <w:u w:val="single"/>
          </w:rPr>
          <w:t>6:4–8</w:t>
        </w:r>
      </w:hyperlink>
      <w:r>
        <w:rPr>
          <w:lang w:val="hi_IN" w:bidi="hi_IN"/>
        </w:rPr>
        <w:t>)। और हम परमेश्वर की संतानों के रूप में अपनी विरासत के विषय में हमें दिए गए उनके वादों को स्वीकार कर सकते हैं (</w:t>
      </w:r>
      <w:hyperlink r:id="rId62">
        <w:r>
          <w:rPr>
            <w:lang w:val="hi_IN" w:bidi="hi_IN"/>
          </w:rPr>
          <w:rPr>
            <w:color w:val="0000EE"/>
            <w:u w:val="single"/>
          </w:rPr>
          <w:t>4:3–11</w:t>
        </w:r>
      </w:hyperlink>
      <w:r>
        <w:rPr>
          <w:lang w:val="hi_IN" w:bidi="hi_IN"/>
        </w:rPr>
        <w:t xml:space="preserve">; </w:t>
      </w:r>
      <w:hyperlink r:id="rId63">
        <w:r>
          <w:rPr>
            <w:lang w:val="hi_IN" w:bidi="hi_IN"/>
          </w:rPr>
          <w:rPr>
            <w:color w:val="0000EE"/>
            <w:u w:val="single"/>
          </w:rPr>
          <w:t>6:13–20</w:t>
        </w:r>
      </w:hyperlink>
      <w:r>
        <w:rPr>
          <w:lang w:val="hi_IN" w:bidi="hi_IN"/>
        </w:rPr>
        <w:t xml:space="preserve">; </w:t>
      </w:r>
      <w:hyperlink r:id="rId64">
        <w:r>
          <w:rPr>
            <w:lang w:val="hi_IN" w:bidi="hi_IN"/>
          </w:rPr>
          <w:rPr>
            <w:color w:val="0000EE"/>
            <w:u w:val="single"/>
          </w:rPr>
          <w:t>12:22–24</w:t>
        </w:r>
      </w:hyperlink>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hyperlink r:id="rId65">
        <w:r>
          <w:rPr>
            <w:lang w:val="hi_IN" w:bidi="hi_IN"/>
          </w:rPr>
          <w:rPr>
            <w:color w:val="0000EE"/>
            <w:u w:val="single"/>
          </w:rPr>
          <w:t>13:1–17</w:t>
        </w:r>
      </w:hyperlink>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