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2"/>
      </w:pPr>
      <w:r>
        <w:rPr>
          <w:lang w:val="id_ID" w:bidi="id_ID"/>
        </w:rPr>
        <w:t>Latar Belakang</w:t>
      </w:r>
    </w:p>
    <w:p>
      <w:pPr/>
      <w:r>
        <w:rPr>
          <w:lang w:val="id_ID" w:bidi="id_ID"/>
        </w:rPr>
      </w:r>
      <w:r>
        <w:rPr>
          <w:lang w:val="id_ID" w:bidi="id_ID"/>
        </w:rP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pPr/>
      <w:r>
        <w:rPr>
          <w:lang w:val="id_ID" w:bidi="id_ID"/>
        </w:rPr>
      </w:r>
      <w:r>
        <w:rPr>
          <w:lang w:val="id_ID" w:bidi="id_ID"/>
        </w:rP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2"/>
      </w:pPr>
      <w:r>
        <w:rPr>
          <w:lang w:val="id_ID" w:bidi="id_ID"/>
        </w:rPr>
        <w:t>Ringkasan</w:t>
      </w:r>
    </w:p>
    <w:p>
      <w:pPr/>
      <w:r>
        <w:rPr>
          <w:lang w:val="id_ID" w:bidi="id_ID"/>
        </w:rPr>
      </w:r>
      <w:r>
        <w:rPr>
          <w:lang w:val="id_ID" w:bidi="id_ID"/>
        </w:rPr>
        <w:t>Injil Lukas dimulai dengan sebuah prolog resmi, yang ditulis dalam gaya para penulis Yunani-Romawi kawakan di zaman Lukas (</w:t>
      </w:r>
      <w:hyperlink r:id="rId13">
        <w:r>
          <w:rPr>
            <w:lang w:val="id_ID" w:bidi="id_ID"/>
          </w:rPr>
          <w:rPr>
            <w:color w:val="0000EE"/>
            <w:u w:val="single"/>
          </w:rPr>
          <w:t>1:1–4</w:t>
        </w:r>
      </w:hyperlink>
      <w:r>
        <w:rPr>
          <w:lang w:val="id_ID" w:bidi="id_ID"/>
        </w:rPr>
        <w:t>). Prolog ini membuktikan keahlian sastra penulis dan menjabarkan tujuan dari karyanya, yaitu menuliskan sebuah catatan sejarah yang terpercaya tentang kehidupan Yesus yang akan menegaskan kebenaran dari berita kristiani.</w:t>
      </w:r>
    </w:p>
    <w:p>
      <w:pPr/>
      <w:r>
        <w:rPr>
          <w:lang w:val="id_ID" w:bidi="id_ID"/>
        </w:rPr>
      </w:r>
      <w:r>
        <w:rPr>
          <w:lang w:val="id_ID" w:bidi="id_ID"/>
        </w:rPr>
        <w:t>Setelah bagian pendahuluan yang resmi ini, gaya tulisannya berubah secara dramatis. Lukas menceritakan kelahiran Yesus (</w:t>
      </w:r>
      <w:hyperlink r:id="rId14">
        <w:r>
          <w:rPr>
            <w:lang w:val="id_ID" w:bidi="id_ID"/>
          </w:rPr>
          <w:rPr>
            <w:color w:val="0000EE"/>
            <w:u w:val="single"/>
          </w:rPr>
          <w:t>1:5–2:51</w:t>
        </w:r>
      </w:hyperlink>
      <w:r>
        <w:rPr>
          <w:lang w:val="id_ID" w:bidi="id_ID"/>
        </w:rPr>
        <w:t>) dengan cara yang familier bagi para pembaca Perjanjian Lama berbahasa Yunani. Narasi kelahiran ini jelas menunjukkan akar berita Injil yang bersifat Yahudi dan memperkenalkan tema-tema yang berkembang dalam Injil Lukas dan Kisah Para Rasul.</w:t>
      </w:r>
    </w:p>
    <w:p>
      <w:pPr/>
      <w:r>
        <w:rPr>
          <w:lang w:val="id_ID" w:bidi="id_ID"/>
        </w:rPr>
      </w:r>
      <w:r>
        <w:rPr>
          <w:lang w:val="id_ID" w:bidi="id_ID"/>
        </w:rPr>
        <w:t>Seperti halnya Matius dan Markus, Injil Lukas memulai pelayanan publik Yesus dengan catatan tentang Yohanes Pembaptis (</w:t>
      </w:r>
      <w:hyperlink r:id="rId15">
        <w:r>
          <w:rPr>
            <w:lang w:val="id_ID" w:bidi="id_ID"/>
          </w:rPr>
          <w:rPr>
            <w:color w:val="0000EE"/>
            <w:u w:val="single"/>
          </w:rPr>
          <w:t>3:1–20</w:t>
        </w:r>
      </w:hyperlink>
      <w:r>
        <w:rPr>
          <w:lang w:val="id_ID" w:bidi="id_ID"/>
        </w:rPr>
        <w:t>), baptisan Yesus (</w:t>
      </w:r>
      <w:hyperlink r:id="rId16">
        <w:r>
          <w:rPr>
            <w:lang w:val="id_ID" w:bidi="id_ID"/>
          </w:rPr>
          <w:rPr>
            <w:color w:val="0000EE"/>
            <w:u w:val="single"/>
          </w:rPr>
          <w:t>3:21–22</w:t>
        </w:r>
      </w:hyperlink>
      <w:r>
        <w:rPr>
          <w:lang w:val="id_ID" w:bidi="id_ID"/>
        </w:rPr>
        <w:t>), pencobaan yang dialami Yesus (</w:t>
      </w:r>
      <w:hyperlink r:id="rId17">
        <w:r>
          <w:rPr>
            <w:lang w:val="id_ID" w:bidi="id_ID"/>
          </w:rPr>
          <w:rPr>
            <w:color w:val="0000EE"/>
            <w:u w:val="single"/>
          </w:rPr>
          <w:t>4:1–13</w:t>
        </w:r>
      </w:hyperlink>
      <w:r>
        <w:rPr>
          <w:lang w:val="id_ID" w:bidi="id_ID"/>
        </w:rPr>
        <w:t>), dan gambaran pelayanan-Nya di dalam dan di sekitar Galilea (</w:t>
      </w:r>
      <w:hyperlink r:id="rId18">
        <w:r>
          <w:rPr>
            <w:lang w:val="id_ID" w:bidi="id_ID"/>
          </w:rPr>
          <w:rPr>
            <w:color w:val="0000EE"/>
            <w:u w:val="single"/>
          </w:rPr>
          <w:t>4:14–9:50</w:t>
        </w:r>
      </w:hyperlink>
      <w:r>
        <w:rPr>
          <w:lang w:val="id_ID" w:bidi="id_ID"/>
        </w:rP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hyperlink r:id="rId19">
        <w:r>
          <w:rPr>
            <w:lang w:val="id_ID" w:bidi="id_ID"/>
          </w:rPr>
          <w:rPr>
            <w:color w:val="0000EE"/>
            <w:u w:val="single"/>
          </w:rPr>
          <w:t>9:18–22</w:t>
        </w:r>
      </w:hyperlink>
      <w:r>
        <w:rPr>
          <w:lang w:val="id_ID" w:bidi="id_ID"/>
        </w:rPr>
        <w:t>). Lalu Yesus pergi ke Yerusalem untuk menggenapi misi tersebut (</w:t>
      </w:r>
      <w:hyperlink r:id="rId20">
        <w:r>
          <w:rPr>
            <w:lang w:val="id_ID" w:bidi="id_ID"/>
          </w:rPr>
          <w:rPr>
            <w:color w:val="0000EE"/>
            <w:u w:val="single"/>
          </w:rPr>
          <w:t>9:51–19:44</w:t>
        </w:r>
      </w:hyperlink>
      <w:r>
        <w:rPr>
          <w:lang w:val="id_ID" w:bidi="id_ID"/>
        </w:rP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hyperlink r:id="rId21">
        <w:r>
          <w:rPr>
            <w:lang w:val="id_ID" w:bidi="id_ID"/>
          </w:rPr>
          <w:rPr>
            <w:color w:val="0000EE"/>
            <w:u w:val="single"/>
          </w:rPr>
          <w:t>19:10</w:t>
        </w:r>
      </w:hyperlink>
      <w:r>
        <w:rPr>
          <w:lang w:val="id_ID" w:bidi="id_ID"/>
        </w:rPr>
        <w:t>).</w:t>
      </w:r>
    </w:p>
    <w:p>
      <w:pPr/>
      <w:r>
        <w:rPr>
          <w:lang w:val="id_ID" w:bidi="id_ID"/>
        </w:rPr>
      </w:r>
      <w:r>
        <w:rPr>
          <w:lang w:val="id_ID" w:bidi="id_ID"/>
        </w:rPr>
        <w:t>Puncak dari narasi Injil tersebut adalah penangkapan, pengadilan, dan penyaliban Yesus (</w:t>
      </w:r>
      <w:hyperlink r:id="rId22">
        <w:r>
          <w:rPr>
            <w:lang w:val="id_ID" w:bidi="id_ID"/>
          </w:rPr>
          <w:rPr>
            <w:color w:val="0000EE"/>
            <w:u w:val="single"/>
          </w:rPr>
          <w:t>22:1–23:56</w:t>
        </w:r>
      </w:hyperlink>
      <w:r>
        <w:rPr>
          <w:lang w:val="id_ID" w:bidi="id_ID"/>
        </w:rPr>
        <w:t xml:space="preserve">). Tema utama penyaliban di dalam Injil Lukas adalah ketidakberdosaan Yesus. Ia digambarkan sebagai Hamba TUHAN yang saleh tetapi menderita (baca </w:t>
      </w:r>
      <w:hyperlink r:id="rId23">
        <w:r>
          <w:rPr>
            <w:lang w:val="id_ID" w:bidi="id_ID"/>
          </w:rPr>
          <w:rPr>
            <w:color w:val="0000EE"/>
            <w:u w:val="single"/>
          </w:rPr>
          <w:t>Yes. 52:13–53:12</w:t>
        </w:r>
      </w:hyperlink>
      <w:r>
        <w:rPr>
          <w:lang w:val="id_ID" w:bidi="id_ID"/>
        </w:rPr>
        <w:t>). Pada waktu kematian Yesus, perwira Romawi yang berdiri di kaki salib berseru, “Sungguh, orang ini adalah orang benar!” (</w:t>
      </w:r>
      <w:hyperlink r:id="rId24">
        <w:r>
          <w:rPr>
            <w:lang w:val="id_ID" w:bidi="id_ID"/>
          </w:rPr>
          <w:rPr>
            <w:color w:val="0000EE"/>
            <w:u w:val="single"/>
          </w:rPr>
          <w:t>Luk. 23:47</w:t>
        </w:r>
      </w:hyperlink>
      <w:r>
        <w:rPr>
          <w:lang w:val="id_ID" w:bidi="id_ID"/>
        </w:rPr>
        <w:t>).</w:t>
      </w:r>
    </w:p>
    <w:p>
      <w:pPr/>
      <w:r>
        <w:rPr>
          <w:lang w:val="id_ID" w:bidi="id_ID"/>
        </w:rPr>
      </w:r>
      <w:r>
        <w:rPr>
          <w:lang w:val="id_ID" w:bidi="id_ID"/>
        </w:rPr>
        <w:t>Narasi itu ditutup dengan kebangkitan Yesus (</w:t>
      </w:r>
      <w:hyperlink r:id="rId25">
        <w:r>
          <w:rPr>
            <w:lang w:val="id_ID" w:bidi="id_ID"/>
          </w:rPr>
          <w:rPr>
            <w:color w:val="0000EE"/>
            <w:u w:val="single"/>
          </w:rPr>
          <w:t>24:1–12</w:t>
        </w:r>
      </w:hyperlink>
      <w:r>
        <w:rPr>
          <w:lang w:val="id_ID" w:bidi="id_ID"/>
        </w:rPr>
        <w:t>). Kontribusi Lukas yang paling berbeda di sini adalah cerita tentang beberapa murid yang sedang melakukan perjalanan ke Emaus (</w:t>
      </w:r>
      <w:hyperlink r:id="rId26">
        <w:r>
          <w:rPr>
            <w:lang w:val="id_ID" w:bidi="id_ID"/>
          </w:rPr>
          <w:rPr>
            <w:color w:val="0000EE"/>
            <w:u w:val="single"/>
          </w:rPr>
          <w:t>24:13–35</w:t>
        </w:r>
      </w:hyperlink>
      <w:r>
        <w:rPr>
          <w:lang w:val="id_ID" w:bidi="id_ID"/>
        </w:rPr>
        <w:t>). Sambil berjalan dengan dua murid-Nya yang muram, yang tidak mengenal-Nya, Yesus mengajarkan bahwa kematian-Nya bukanlah sebuah kegagalan, melainkan penggenapan atas janji-janji dalam Perjanjian Lama. Seluruh Kitab Suci menantikan peristiwa keselamatan yang agung ini (</w:t>
      </w:r>
      <w:hyperlink r:id="rId27">
        <w:r>
          <w:rPr>
            <w:lang w:val="id_ID" w:bidi="id_ID"/>
          </w:rPr>
          <w:rPr>
            <w:color w:val="0000EE"/>
            <w:u w:val="single"/>
          </w:rPr>
          <w:t>24:25–27</w:t>
        </w:r>
      </w:hyperlink>
      <w:r>
        <w:rPr>
          <w:lang w:val="id_ID" w:bidi="id_ID"/>
        </w:rPr>
        <w:t>). Kitab tersebut berakhir dengan catatan singkat tentang kenaikan Yesus ke surga (</w:t>
      </w:r>
      <w:hyperlink r:id="rId28">
        <w:r>
          <w:rPr>
            <w:lang w:val="id_ID" w:bidi="id_ID"/>
          </w:rPr>
          <w:rPr>
            <w:color w:val="0000EE"/>
            <w:u w:val="single"/>
          </w:rPr>
          <w:t>24:50–53</w:t>
        </w:r>
      </w:hyperlink>
      <w:r>
        <w:rPr>
          <w:lang w:val="id_ID" w:bidi="id_ID"/>
        </w:rPr>
        <w:t>), yang digambarkan dengan lebih lengkap di dalam Kisah Para Rasul (</w:t>
      </w:r>
      <w:hyperlink r:id="rId29">
        <w:r>
          <w:rPr>
            <w:lang w:val="id_ID" w:bidi="id_ID"/>
          </w:rPr>
          <w:rPr>
            <w:color w:val="0000EE"/>
            <w:u w:val="single"/>
          </w:rPr>
          <w:t>Kis. 1:1–11</w:t>
        </w:r>
      </w:hyperlink>
      <w:r>
        <w:rPr>
          <w:lang w:val="id_ID" w:bidi="id_ID"/>
        </w:rPr>
        <w:t>).</w:t>
      </w:r>
    </w:p>
    <w:p>
      <w:pPr/>
      <w:r>
        <w:rPr>
          <w:lang w:val="id_ID" w:bidi="id_ID"/>
        </w:rPr>
      </w:r>
      <w:r>
        <w:rPr>
          <w:lang w:val="id_ID" w:bidi="id_ID"/>
        </w:rP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hyperlink r:id="rId30">
        <w:r>
          <w:rPr>
            <w:lang w:val="id_ID" w:bidi="id_ID"/>
          </w:rPr>
          <w:rPr>
            <w:color w:val="0000EE"/>
            <w:u w:val="single"/>
          </w:rPr>
          <w:t>Luk. 1:1–2:52</w:t>
        </w:r>
      </w:hyperlink>
      <w:r>
        <w:rPr>
          <w:lang w:val="id_ID" w:bidi="id_ID"/>
        </w:rPr>
        <w:t>); (2) Lukas menyisihkan sebagian besar narasi Markus tentang pelayanan di Galilea, yang kadang disebut “penyisihan besar” (</w:t>
      </w:r>
      <w:hyperlink r:id="rId31">
        <w:r>
          <w:rPr>
            <w:lang w:val="id_ID" w:bidi="id_ID"/>
          </w:rPr>
          <w:rPr>
            <w:color w:val="0000EE"/>
            <w:u w:val="single"/>
          </w:rPr>
          <w:t>Mrk. 6:45–8:26</w:t>
        </w:r>
      </w:hyperlink>
      <w:r>
        <w:rPr>
          <w:lang w:val="id_ID" w:bidi="id_ID"/>
        </w:rPr>
        <w:t>); dan (3) Lukas memperluas catatan Markus tentang perjalanan ke Yerusalem dari satu pasal (</w:t>
      </w:r>
      <w:hyperlink r:id="rId32">
        <w:r>
          <w:rPr>
            <w:lang w:val="id_ID" w:bidi="id_ID"/>
          </w:rPr>
          <w:rPr>
            <w:color w:val="0000EE"/>
            <w:u w:val="single"/>
          </w:rPr>
          <w:t>Mrk. 10:1–52</w:t>
        </w:r>
      </w:hyperlink>
      <w:r>
        <w:rPr>
          <w:lang w:val="id_ID" w:bidi="id_ID"/>
        </w:rPr>
        <w:t>) menjadi sepuluh pasal (</w:t>
      </w:r>
      <w:hyperlink r:id="rId20">
        <w:r>
          <w:rPr>
            <w:lang w:val="id_ID" w:bidi="id_ID"/>
          </w:rPr>
          <w:rPr>
            <w:color w:val="0000EE"/>
            <w:u w:val="single"/>
          </w:rPr>
          <w:t>Luk. 9:51–19:44</w:t>
        </w:r>
      </w:hyperlink>
      <w:r>
        <w:rPr>
          <w:lang w:val="id_ID" w:bidi="id_ID"/>
        </w:rPr>
        <w:t>) dan memasukkan banyak ajaran Yesus dan pelayanan-Nya terhadap orang-orang buangan di Israel.</w:t>
      </w:r>
    </w:p>
    <w:p>
      <w:pPr>
        <w:pStyle w:val="Heading2"/>
      </w:pPr>
      <w:r>
        <w:rPr>
          <w:lang w:val="id_ID" w:bidi="id_ID"/>
        </w:rPr>
        <w:t>Injil Lukas sebagai Karya Sastra</w:t>
      </w:r>
    </w:p>
    <w:p>
      <w:pPr/>
      <w:r>
        <w:rPr>
          <w:lang w:val="id_ID" w:bidi="id_ID"/>
        </w:rPr>
      </w:r>
      <w:r>
        <w:rPr>
          <w:lang w:val="id_ID" w:bidi="id_ID"/>
        </w:rP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pPr/>
      <w:r>
        <w:rPr>
          <w:lang w:val="id_ID" w:bidi="id_ID"/>
        </w:rPr>
      </w:r>
      <w:r>
        <w:rPr>
          <w:lang w:val="id_ID" w:bidi="id_ID"/>
        </w:rP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2"/>
      </w:pPr>
      <w:r>
        <w:rPr>
          <w:lang w:val="id_ID" w:bidi="id_ID"/>
        </w:rPr>
        <w:t>Kepenulisan</w:t>
      </w:r>
    </w:p>
    <w:p>
      <w:pPr/>
      <w:r>
        <w:rPr>
          <w:lang w:val="id_ID" w:bidi="id_ID"/>
        </w:rPr>
      </w:r>
      <w:r>
        <w:rPr>
          <w:lang w:val="id_ID" w:bidi="id_ID"/>
        </w:rP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hyperlink r:id="rId33">
        <w:r>
          <w:rPr>
            <w:lang w:val="id_ID" w:bidi="id_ID"/>
          </w:rPr>
          <w:rPr>
            <w:color w:val="0000EE"/>
            <w:u w:val="single"/>
          </w:rPr>
          <w:t>Kis. 16:10–17</w:t>
        </w:r>
      </w:hyperlink>
      <w:r>
        <w:rPr>
          <w:lang w:val="id_ID" w:bidi="id_ID"/>
        </w:rPr>
        <w:t xml:space="preserve">; </w:t>
      </w:r>
      <w:hyperlink r:id="rId34">
        <w:r>
          <w:rPr>
            <w:lang w:val="id_ID" w:bidi="id_ID"/>
          </w:rPr>
          <w:rPr>
            <w:color w:val="0000EE"/>
            <w:u w:val="single"/>
          </w:rPr>
          <w:t>20:5–17</w:t>
        </w:r>
      </w:hyperlink>
      <w:r>
        <w:rPr>
          <w:lang w:val="id_ID" w:bidi="id_ID"/>
        </w:rPr>
        <w:t xml:space="preserve">; </w:t>
      </w:r>
      <w:hyperlink r:id="rId35">
        <w:r>
          <w:rPr>
            <w:lang w:val="id_ID" w:bidi="id_ID"/>
          </w:rPr>
          <w:rPr>
            <w:color w:val="0000EE"/>
            <w:u w:val="single"/>
          </w:rPr>
          <w:t>21:1–18</w:t>
        </w:r>
      </w:hyperlink>
      <w:r>
        <w:rPr>
          <w:lang w:val="id_ID" w:bidi="id_ID"/>
        </w:rPr>
        <w:t xml:space="preserve">; </w:t>
      </w:r>
      <w:hyperlink r:id="rId36">
        <w:r>
          <w:rPr>
            <w:lang w:val="id_ID" w:bidi="id_ID"/>
          </w:rPr>
          <w:rPr>
            <w:color w:val="0000EE"/>
            <w:u w:val="single"/>
          </w:rPr>
          <w:t>27:1–28:16</w:t>
        </w:r>
      </w:hyperlink>
      <w:r>
        <w:rPr>
          <w:lang w:val="id_ID" w:bidi="id_ID"/>
        </w:rPr>
        <w:t>). Lukas adalah seorang non-Yahudi (</w:t>
      </w:r>
      <w:hyperlink r:id="rId37">
        <w:r>
          <w:rPr>
            <w:lang w:val="id_ID" w:bidi="id_ID"/>
          </w:rPr>
          <w:rPr>
            <w:color w:val="0000EE"/>
            <w:u w:val="single"/>
          </w:rPr>
          <w:t>Kol. 4:11–14</w:t>
        </w:r>
      </w:hyperlink>
      <w:r>
        <w:rPr>
          <w:lang w:val="id_ID" w:bidi="id_ID"/>
        </w:rPr>
        <w:t>), dan salah satu tema utamanya adalah bahwa keselamatan Allah tersedia bagi bangsa-bangsa non-Yahudi seperti halnya bagi bangsa Yahudi.</w:t>
      </w:r>
    </w:p>
    <w:p>
      <w:pPr/>
      <w:r>
        <w:rPr>
          <w:lang w:val="id_ID" w:bidi="id_ID"/>
        </w:rPr>
      </w:r>
      <w:r>
        <w:rPr>
          <w:lang w:val="id_ID" w:bidi="id_ID"/>
        </w:rP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hyperlink r:id="rId38">
        <w:r>
          <w:rPr>
            <w:lang w:val="id_ID" w:bidi="id_ID"/>
          </w:rPr>
          <w:rPr>
            <w:color w:val="0000EE"/>
            <w:u w:val="single"/>
          </w:rPr>
          <w:t>Luk. 1:4</w:t>
        </w:r>
      </w:hyperlink>
      <w:r>
        <w:rPr>
          <w:lang w:val="id_ID" w:bidi="id_ID"/>
        </w:rPr>
        <w:t>).</w:t>
      </w:r>
    </w:p>
    <w:p>
      <w:pPr>
        <w:pStyle w:val="Heading2"/>
      </w:pPr>
      <w:r>
        <w:rPr>
          <w:lang w:val="id_ID" w:bidi="id_ID"/>
        </w:rPr>
        <w:t>Situasi dan Tempat Penulisan</w:t>
      </w:r>
    </w:p>
    <w:p>
      <w:pPr/>
      <w:r>
        <w:rPr>
          <w:lang w:val="id_ID" w:bidi="id_ID"/>
        </w:rPr>
      </w:r>
      <w:r>
        <w:rPr>
          <w:lang w:val="id_ID" w:bidi="id_ID"/>
        </w:rP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hyperlink r:id="rId39">
        <w:r>
          <w:rPr>
            <w:lang w:val="id_ID" w:bidi="id_ID"/>
          </w:rPr>
          <w:rPr>
            <w:color w:val="0000EE"/>
            <w:u w:val="single"/>
          </w:rPr>
          <w:t>Mrk. 13:14</w:t>
        </w:r>
      </w:hyperlink>
      <w:r>
        <w:rPr>
          <w:lang w:val="id_ID" w:bidi="id_ID"/>
        </w:rPr>
        <w:t>).</w:t>
      </w:r>
    </w:p>
    <w:p>
      <w:pPr>
        <w:pStyle w:val="Heading2"/>
      </w:pPr>
      <w:r>
        <w:rPr>
          <w:lang w:val="id_ID" w:bidi="id_ID"/>
        </w:rPr>
        <w:t>Penerima Kitab</w:t>
      </w:r>
    </w:p>
    <w:p>
      <w:pPr/>
      <w:r>
        <w:rPr>
          <w:lang w:val="id_ID" w:bidi="id_ID"/>
        </w:rPr>
      </w:r>
      <w:r>
        <w:rPr>
          <w:lang w:val="id_ID" w:bidi="id_ID"/>
        </w:rP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2"/>
      </w:pPr>
      <w:r>
        <w:rPr>
          <w:lang w:val="id_ID" w:bidi="id_ID"/>
        </w:rPr>
        <w:t>Makna dan Pesan</w:t>
      </w:r>
    </w:p>
    <w:p>
      <w:pPr/>
      <w:r>
        <w:rPr>
          <w:lang w:val="id_ID" w:bidi="id_ID"/>
        </w:rPr>
      </w:r>
      <w:r>
        <w:rPr>
          <w:lang w:val="id_ID" w:bidi="id_ID"/>
        </w:rPr>
        <w:t>Narasi Lukas-Kisah Para Rasul menegaskan bahwa (1) Yesus adalah Mesias yang dijanjikan di dalam Kitab Suci Perjanjian Lama; (2) kematian-Nya di kayu salib tidak membatalkan klaim tersebut sebab kematian dan kebangkitan Mesias telah diramalkan di dalam Kitab Suci (</w:t>
      </w:r>
      <w:hyperlink r:id="rId40">
        <w:r>
          <w:rPr>
            <w:lang w:val="id_ID" w:bidi="id_ID"/>
          </w:rPr>
          <w:rPr>
            <w:color w:val="0000EE"/>
            <w:u w:val="single"/>
          </w:rPr>
          <w:t>Luk. 24:26</w:t>
        </w:r>
      </w:hyperlink>
      <w:r>
        <w:rPr>
          <w:lang w:val="id_ID" w:bidi="id_ID"/>
        </w:rPr>
        <w:t xml:space="preserve">, </w:t>
      </w:r>
      <w:hyperlink r:id="rId41">
        <w:r>
          <w:rPr>
            <w:lang w:val="id_ID" w:bidi="id_ID"/>
          </w:rPr>
          <w:rPr>
            <w:color w:val="0000EE"/>
            <w:u w:val="single"/>
          </w:rPr>
          <w:t>46</w:t>
        </w:r>
      </w:hyperlink>
      <w:r>
        <w:rPr>
          <w:lang w:val="id_ID" w:bidi="id_ID"/>
        </w:rP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pPr/>
      <w:r>
        <w:rPr>
          <w:lang w:val="id_ID" w:bidi="id_ID"/>
        </w:rPr>
      </w:r>
      <w:r>
        <w:rPr>
          <w:lang w:val="id_ID" w:bidi="id_ID"/>
        </w:rP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hyperlink r:id="rId13">
        <w:r>
          <w:rPr>
            <w:lang w:val="id_ID" w:bidi="id_ID"/>
          </w:rPr>
          <w:rPr>
            <w:color w:val="0000EE"/>
            <w:u w:val="single"/>
          </w:rPr>
          <w:t>1:1–4</w:t>
        </w:r>
      </w:hyperlink>
      <w:r>
        <w:rPr>
          <w:lang w:val="id_ID" w:bidi="id_ID"/>
        </w:rPr>
        <w:t>) dan secara cermat menandai waktu pelayanan Yesus dengan merujuk kepada pemerintah yang berkuasa pada waktu itu (</w:t>
      </w:r>
      <w:hyperlink r:id="rId42">
        <w:r>
          <w:rPr>
            <w:lang w:val="id_ID" w:bidi="id_ID"/>
          </w:rPr>
          <w:rPr>
            <w:color w:val="0000EE"/>
            <w:u w:val="single"/>
          </w:rPr>
          <w:t>3:1–2</w:t>
        </w:r>
      </w:hyperlink>
      <w:r>
        <w:rPr>
          <w:lang w:val="id_ID" w:bidi="id_ID"/>
        </w:rPr>
        <w:t>).</w:t>
      </w:r>
    </w:p>
    <w:p>
      <w:pPr/>
      <w:r>
        <w:rPr>
          <w:lang w:val="id_ID" w:bidi="id_ID"/>
        </w:rPr>
      </w:r>
      <w:r>
        <w:rPr>
          <w:lang w:val="id_ID" w:bidi="id_ID"/>
        </w:rPr>
        <w:t>Gambaran tentang Yesus. Gambaran Lukas tentang Yesus mencerminkan tema tentang janji dan penggenapannya. Yesus diperkenalkan sebagai Juru Selamat yang dijanjikan, Mesias keturunan Raja Daud. Ia lahir di Betlehem, kota Daud, dan akan memerintah selamanya di atas takhta Daud (</w:t>
      </w:r>
      <w:hyperlink r:id="rId43">
        <w:r>
          <w:rPr>
            <w:lang w:val="id_ID" w:bidi="id_ID"/>
          </w:rPr>
          <w:rPr>
            <w:color w:val="0000EE"/>
            <w:u w:val="single"/>
          </w:rPr>
          <w:t>1:32–33</w:t>
        </w:r>
      </w:hyperlink>
      <w:r>
        <w:rPr>
          <w:lang w:val="id_ID" w:bidi="id_ID"/>
        </w:rPr>
        <w:t xml:space="preserve">; </w:t>
      </w:r>
      <w:hyperlink r:id="rId44">
        <w:r>
          <w:rPr>
            <w:lang w:val="id_ID" w:bidi="id_ID"/>
          </w:rPr>
          <w:rPr>
            <w:color w:val="0000EE"/>
            <w:u w:val="single"/>
          </w:rPr>
          <w:t>2:4</w:t>
        </w:r>
      </w:hyperlink>
      <w:r>
        <w:rPr>
          <w:lang w:val="id_ID" w:bidi="id_ID"/>
        </w:rPr>
        <w:t xml:space="preserve">, </w:t>
      </w:r>
      <w:hyperlink r:id="rId45">
        <w:r>
          <w:rPr>
            <w:lang w:val="id_ID" w:bidi="id_ID"/>
          </w:rPr>
          <w:rPr>
            <w:color w:val="0000EE"/>
            <w:u w:val="single"/>
          </w:rPr>
          <w:t>11</w:t>
        </w:r>
      </w:hyperlink>
      <w:r>
        <w:rPr>
          <w:lang w:val="id_ID" w:bidi="id_ID"/>
        </w:rP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hyperlink r:id="rId45">
        <w:r>
          <w:rPr>
            <w:lang w:val="id_ID" w:bidi="id_ID"/>
          </w:rPr>
          <w:rPr>
            <w:color w:val="0000EE"/>
            <w:u w:val="single"/>
          </w:rPr>
          <w:t>Luk. 2:11</w:t>
        </w:r>
      </w:hyperlink>
      <w:r>
        <w:rPr>
          <w:lang w:val="id_ID" w:bidi="id_ID"/>
        </w:rPr>
        <w:t xml:space="preserve">; </w:t>
      </w:r>
      <w:hyperlink r:id="rId46">
        <w:r>
          <w:rPr>
            <w:lang w:val="id_ID" w:bidi="id_ID"/>
          </w:rPr>
          <w:rPr>
            <w:color w:val="0000EE"/>
            <w:u w:val="single"/>
          </w:rPr>
          <w:t>Kis. 2:36</w:t>
        </w:r>
      </w:hyperlink>
      <w:r>
        <w:rPr>
          <w:lang w:val="id_ID" w:bidi="id_ID"/>
        </w:rPr>
        <w:t xml:space="preserve">; </w:t>
      </w:r>
      <w:hyperlink r:id="rId47">
        <w:r>
          <w:rPr>
            <w:lang w:val="id_ID" w:bidi="id_ID"/>
          </w:rPr>
          <w:rPr>
            <w:color w:val="0000EE"/>
            <w:u w:val="single"/>
          </w:rPr>
          <w:t>10:36</w:t>
        </w:r>
      </w:hyperlink>
      <w:r>
        <w:rPr>
          <w:lang w:val="id_ID" w:bidi="id_ID"/>
        </w:rPr>
        <w:t>). Hamba-hamba-Nya sekarang membawa berita keselamatan ini sampai ke ujung bumi.</w:t>
      </w:r>
    </w:p>
    <w:p>
      <w:pPr/>
      <w:r>
        <w:rPr>
          <w:lang w:val="id_ID" w:bidi="id_ID"/>
        </w:rPr>
      </w:r>
      <w:r>
        <w:rPr>
          <w:lang w:val="id_ID" w:bidi="id_ID"/>
        </w:rPr>
        <w:t>Keselamatan bagi Orang-Orang Luar. Lukas menekankan keselamatan bagi semua yang percaya, khususnya kepada orang-orang terpinggirkan di Israel: orang-orang miskin, pendosa, orang Samaria yang dibenci, kaum wanita, dan bangsa-bangsa non-Yahudi.</w:t>
      </w:r>
    </w:p>
    <w:p>
      <w:pPr/>
      <w:r>
        <w:rPr>
          <w:lang w:val="id_ID" w:bidi="id_ID"/>
        </w:rPr>
      </w:r>
      <w:r>
        <w:rPr>
          <w:lang w:val="id_ID" w:bidi="id_ID"/>
        </w:rPr>
        <w:t xml:space="preserve">(1) </w:t>
      </w:r>
      <w:r>
        <w:rPr>
          <w:i/>
          <w:lang w:val="id_ID" w:bidi="id_ID"/>
        </w:rPr>
        <w:t xml:space="preserve">Orang miskin. </w:t>
      </w:r>
      <w:r>
        <w:rPr>
          <w:lang w:val="id_ID" w:bidi="id_ID"/>
        </w:rPr>
        <w:t>Kerajaan Allah membalikkan kemakmuran secara luar biasa. Allah meninggikan orang yang miskin dan rendah, dan Ia merendahkan yang kaya dan angkuh (</w:t>
      </w:r>
      <w:hyperlink r:id="rId48">
        <w:r>
          <w:rPr>
            <w:lang w:val="id_ID" w:bidi="id_ID"/>
          </w:rPr>
          <w:rPr>
            <w:color w:val="0000EE"/>
            <w:u w:val="single"/>
          </w:rPr>
          <w:t>Luk. 1:51–55</w:t>
        </w:r>
      </w:hyperlink>
      <w:r>
        <w:rPr>
          <w:lang w:val="id_ID" w:bidi="id_ID"/>
        </w:rPr>
        <w:t xml:space="preserve">; </w:t>
      </w:r>
      <w:hyperlink r:id="rId49">
        <w:r>
          <w:rPr>
            <w:lang w:val="id_ID" w:bidi="id_ID"/>
          </w:rPr>
          <w:rPr>
            <w:color w:val="0000EE"/>
            <w:u w:val="single"/>
          </w:rPr>
          <w:t>16:19–31</w:t>
        </w:r>
      </w:hyperlink>
      <w:r>
        <w:rPr>
          <w:lang w:val="id_ID" w:bidi="id_ID"/>
        </w:rPr>
        <w:t>). Injil adalah kabar baik bagi orang-orang yang miskin dan tertindas (</w:t>
      </w:r>
      <w:hyperlink r:id="rId50">
        <w:r>
          <w:rPr>
            <w:lang w:val="id_ID" w:bidi="id_ID"/>
          </w:rPr>
          <w:rPr>
            <w:color w:val="0000EE"/>
            <w:u w:val="single"/>
          </w:rPr>
          <w:t>4:18</w:t>
        </w:r>
      </w:hyperlink>
      <w:r>
        <w:rPr>
          <w:lang w:val="id_ID" w:bidi="id_ID"/>
        </w:rPr>
        <w:t>) sebab merekalah yang paling menyadari kebutuhan mereka akan Allah (</w:t>
      </w:r>
      <w:hyperlink r:id="rId51">
        <w:r>
          <w:rPr>
            <w:lang w:val="id_ID" w:bidi="id_ID"/>
          </w:rPr>
          <w:rPr>
            <w:color w:val="0000EE"/>
            <w:u w:val="single"/>
          </w:rPr>
          <w:t>6:20–21</w:t>
        </w:r>
      </w:hyperlink>
      <w:r>
        <w:rPr>
          <w:lang w:val="id_ID" w:bidi="id_ID"/>
        </w:rPr>
        <w:t>). Orang kaya mustahil masuk ke dalam Kerajaan Allah bila mereka mengandalkan kekayaan mereka, bukan Allah (</w:t>
      </w:r>
      <w:hyperlink r:id="rId52">
        <w:r>
          <w:rPr>
            <w:lang w:val="id_ID" w:bidi="id_ID"/>
          </w:rPr>
          <w:rPr>
            <w:color w:val="0000EE"/>
            <w:u w:val="single"/>
          </w:rPr>
          <w:t>12:13–21</w:t>
        </w:r>
      </w:hyperlink>
      <w:r>
        <w:rPr>
          <w:lang w:val="id_ID" w:bidi="id_ID"/>
        </w:rPr>
        <w:t xml:space="preserve">; </w:t>
      </w:r>
      <w:hyperlink r:id="rId53">
        <w:r>
          <w:rPr>
            <w:lang w:val="id_ID" w:bidi="id_ID"/>
          </w:rPr>
          <w:rPr>
            <w:color w:val="0000EE"/>
            <w:u w:val="single"/>
          </w:rPr>
          <w:t>18:18–30</w:t>
        </w:r>
      </w:hyperlink>
      <w:r>
        <w:rPr>
          <w:lang w:val="id_ID" w:bidi="id_ID"/>
        </w:rPr>
        <w:t>).</w:t>
      </w:r>
    </w:p>
    <w:p>
      <w:pPr/>
      <w:r>
        <w:rPr>
          <w:lang w:val="id_ID" w:bidi="id_ID"/>
        </w:rPr>
      </w:r>
      <w:r>
        <w:rPr>
          <w:lang w:val="id_ID" w:bidi="id_ID"/>
        </w:rPr>
        <w:t>(2)</w:t>
      </w:r>
      <w:r>
        <w:rPr>
          <w:i/>
          <w:lang w:val="id_ID" w:bidi="id_ID"/>
        </w:rPr>
        <w:t xml:space="preserve"> Orang-orang berdosa. </w:t>
      </w:r>
      <w:r>
        <w:rPr>
          <w:lang w:val="id_ID" w:bidi="id_ID"/>
        </w:rP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hyperlink r:id="rId54">
        <w:r>
          <w:rPr>
            <w:lang w:val="id_ID" w:bidi="id_ID"/>
          </w:rPr>
          <w:rPr>
            <w:color w:val="0000EE"/>
            <w:u w:val="single"/>
          </w:rPr>
          <w:t>5:27–32</w:t>
        </w:r>
      </w:hyperlink>
      <w:r>
        <w:rPr>
          <w:lang w:val="id_ID" w:bidi="id_ID"/>
        </w:rPr>
        <w:t>). Ia memuji seorang wanita amoral yang meminyaki kaki-Nya sebab ia menyadari pengampunan Allah dan ia menunjukkan kasihnya yang besar sebagai balasannya (</w:t>
      </w:r>
      <w:hyperlink r:id="rId55">
        <w:r>
          <w:rPr>
            <w:lang w:val="id_ID" w:bidi="id_ID"/>
          </w:rPr>
          <w:rPr>
            <w:color w:val="0000EE"/>
            <w:u w:val="single"/>
          </w:rPr>
          <w:t>7:36–50</w:t>
        </w:r>
      </w:hyperlink>
      <w:r>
        <w:rPr>
          <w:lang w:val="id_ID" w:bidi="id_ID"/>
        </w:rPr>
        <w:t>). Ia menegur orang-orang Farisi dan guru-guru Taurat karena merasa benar sendiri, munafik, dan tidak berbelaskasihan. Pemungut cukai yang bertobat di Bait Suci menerima pengampunan, sementara orang Farisi yang membenarkan dirinya sendiri tidak memperoleh apa-apa (</w:t>
      </w:r>
      <w:hyperlink r:id="rId56">
        <w:r>
          <w:rPr>
            <w:lang w:val="id_ID" w:bidi="id_ID"/>
          </w:rPr>
          <w:rPr>
            <w:color w:val="0000EE"/>
            <w:u w:val="single"/>
          </w:rPr>
          <w:t>18:9–14</w:t>
        </w:r>
      </w:hyperlink>
      <w:r>
        <w:rPr>
          <w:lang w:val="id_ID" w:bidi="id_ID"/>
        </w:rPr>
        <w:t>). Bahkan, kepala pemungut cukai, Zakheus, diampuni ketika ia bertobat dan berbalik kepada Allah (</w:t>
      </w:r>
      <w:hyperlink r:id="rId57">
        <w:r>
          <w:rPr>
            <w:lang w:val="id_ID" w:bidi="id_ID"/>
          </w:rPr>
          <w:rPr>
            <w:color w:val="0000EE"/>
            <w:u w:val="single"/>
          </w:rPr>
          <w:t>19:1–10</w:t>
        </w:r>
      </w:hyperlink>
      <w:r>
        <w:rPr>
          <w:lang w:val="id_ID" w:bidi="id_ID"/>
        </w:rPr>
        <w:t>). Yesus mengampuni dan menawarkan tempat di Firdaus kepada penjahat yang bertobat di kayu salib (</w:t>
      </w:r>
      <w:hyperlink r:id="rId58">
        <w:r>
          <w:rPr>
            <w:lang w:val="id_ID" w:bidi="id_ID"/>
          </w:rPr>
          <w:rPr>
            <w:color w:val="0000EE"/>
            <w:u w:val="single"/>
          </w:rPr>
          <w:t>23:39–43</w:t>
        </w:r>
      </w:hyperlink>
      <w:r>
        <w:rPr>
          <w:lang w:val="id_ID" w:bidi="id_ID"/>
        </w:rPr>
        <w:t>). Perumpamaan-perumpamaan yang diceritakan Yesus mengungkapkan tema yang sama, misalnya, seorang ayah yang mengampuni anaknya yang kurang ajar ketika ia kembali ke rumah (</w:t>
      </w:r>
      <w:hyperlink r:id="rId59">
        <w:r>
          <w:rPr>
            <w:lang w:val="id_ID" w:bidi="id_ID"/>
          </w:rPr>
          <w:rPr>
            <w:color w:val="0000EE"/>
            <w:u w:val="single"/>
          </w:rPr>
          <w:t>15:11–32</w:t>
        </w:r>
      </w:hyperlink>
      <w:r>
        <w:rPr>
          <w:lang w:val="id_ID" w:bidi="id_ID"/>
        </w:rPr>
        <w:t>). Pesan di seluruh Injil Lukas adalah bahwa kedatangan Kerajaan Allah membawa pengampunan bagi semua yang bertobat dan percaya.</w:t>
      </w:r>
    </w:p>
    <w:p>
      <w:pPr/>
      <w:r>
        <w:rPr>
          <w:lang w:val="id_ID" w:bidi="id_ID"/>
        </w:rPr>
      </w:r>
      <w:r>
        <w:rPr>
          <w:lang w:val="id_ID" w:bidi="id_ID"/>
        </w:rPr>
        <w:t xml:space="preserve">(3) </w:t>
      </w:r>
      <w:r>
        <w:rPr>
          <w:i/>
          <w:lang w:val="id_ID" w:bidi="id_ID"/>
        </w:rPr>
        <w:t xml:space="preserve">Orang-Orang Samaria. </w:t>
      </w:r>
      <w:r>
        <w:rPr>
          <w:lang w:val="id_ID" w:bidi="id_ID"/>
        </w:rPr>
        <w:t>Orang-orang Samaria merupakan kalangan luar yang dibenci, tetapi di dalam Lukas, Yesus memuji seorang Samaria yang berterima kasih kepada Allah ketika disembuhkan dari penyakit kusta (</w:t>
      </w:r>
      <w:hyperlink r:id="rId60">
        <w:r>
          <w:rPr>
            <w:lang w:val="id_ID" w:bidi="id_ID"/>
          </w:rPr>
          <w:rPr>
            <w:color w:val="0000EE"/>
            <w:u w:val="single"/>
          </w:rPr>
          <w:t>17:11–19</w:t>
        </w:r>
      </w:hyperlink>
      <w:r>
        <w:rPr>
          <w:lang w:val="id_ID" w:bidi="id_ID"/>
        </w:rPr>
        <w:t>), dan Yesus menceritakan perumpamaan tentang orang Samaria yang baik hati, di mana seorang Samaria yang dibenci adalah satu-satunya sesama bagi seorang Yahudi yang terluka (</w:t>
      </w:r>
      <w:hyperlink r:id="rId61">
        <w:r>
          <w:rPr>
            <w:lang w:val="id_ID" w:bidi="id_ID"/>
          </w:rPr>
          <w:rPr>
            <w:color w:val="0000EE"/>
            <w:u w:val="single"/>
          </w:rPr>
          <w:t>10:29–37</w:t>
        </w:r>
      </w:hyperlink>
      <w:r>
        <w:rPr>
          <w:lang w:val="id_ID" w:bidi="id_ID"/>
        </w:rPr>
        <w:t>). Keselamatan Allah tidak bergantung pada identitas suku atau status sosial, melainkan pada hati yang bertobat dan kehidupan yang mengasihi Allah dan sesama.</w:t>
      </w:r>
    </w:p>
    <w:p>
      <w:pPr/>
      <w:r>
        <w:rPr>
          <w:lang w:val="id_ID" w:bidi="id_ID"/>
        </w:rPr>
      </w:r>
      <w:r>
        <w:rPr>
          <w:lang w:val="id_ID" w:bidi="id_ID"/>
        </w:rPr>
        <w:t xml:space="preserve">(4) </w:t>
      </w:r>
      <w:r>
        <w:rPr>
          <w:i/>
          <w:lang w:val="id_ID" w:bidi="id_ID"/>
        </w:rPr>
        <w:t xml:space="preserve">Kaum Wanita. </w:t>
      </w:r>
      <w:r>
        <w:rPr>
          <w:lang w:val="id_ID" w:bidi="id_ID"/>
        </w:rP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hyperlink r:id="rId62">
        <w:r>
          <w:rPr>
            <w:lang w:val="id_ID" w:bidi="id_ID"/>
          </w:rPr>
          <w:rPr>
            <w:color w:val="0000EE"/>
            <w:u w:val="single"/>
          </w:rPr>
          <w:t>8:1–3</w:t>
        </w:r>
      </w:hyperlink>
      <w:r>
        <w:rPr>
          <w:lang w:val="id_ID" w:bidi="id_ID"/>
        </w:rPr>
        <w:t>). Dan, di dalam kisah tentang Maria dan Marta, Maria dipuji karena belajar sebagai murid yang duduk di kaki Yesus (</w:t>
      </w:r>
      <w:hyperlink r:id="rId63">
        <w:r>
          <w:rPr>
            <w:lang w:val="id_ID" w:bidi="id_ID"/>
          </w:rPr>
          <w:rPr>
            <w:color w:val="0000EE"/>
            <w:u w:val="single"/>
          </w:rPr>
          <w:t>10:38–42</w:t>
        </w:r>
      </w:hyperlink>
      <w:r>
        <w:rPr>
          <w:lang w:val="id_ID" w:bidi="id_ID"/>
        </w:rPr>
        <w:t>).</w:t>
      </w:r>
    </w:p>
    <w:p>
      <w:pPr/>
      <w:r>
        <w:rPr>
          <w:lang w:val="id_ID" w:bidi="id_ID"/>
        </w:rPr>
      </w:r>
      <w:r>
        <w:rPr>
          <w:lang w:val="id_ID" w:bidi="id_ID"/>
        </w:rPr>
        <w:t xml:space="preserve">(5) </w:t>
      </w:r>
      <w:r>
        <w:rPr>
          <w:i/>
          <w:lang w:val="id_ID" w:bidi="id_ID"/>
        </w:rPr>
        <w:t xml:space="preserve">Bangsa-Bangsa Non-Yahudi. </w:t>
      </w:r>
      <w:r>
        <w:rPr>
          <w:lang w:val="id_ID" w:bidi="id_ID"/>
        </w:rPr>
        <w:t>Kalangan luar yang terutama adalah bangsa-bangsa non-Yahudi. Lukas menekankan bahwa keselamatan Allah juga diulurkan kepada mereka. Meskipun muncul dari Israel, Yesus adalah “terang yang menjadi penyataan bagi bangsa-bangsa lain” (</w:t>
      </w:r>
      <w:hyperlink r:id="rId64">
        <w:r>
          <w:rPr>
            <w:lang w:val="id_ID" w:bidi="id_ID"/>
          </w:rPr>
          <w:rPr>
            <w:color w:val="0000EE"/>
            <w:u w:val="single"/>
          </w:rPr>
          <w:t>2:32</w:t>
        </w:r>
      </w:hyperlink>
      <w:r>
        <w:rPr>
          <w:lang w:val="id_ID" w:bidi="id_ID"/>
        </w:rPr>
        <w:t>), dan “semua orang akan melihat keselamatan yang dari Tuhan” (</w:t>
      </w:r>
      <w:hyperlink r:id="rId65">
        <w:r>
          <w:rPr>
            <w:lang w:val="id_ID" w:bidi="id_ID"/>
          </w:rPr>
          <w:rPr>
            <w:color w:val="0000EE"/>
            <w:u w:val="single"/>
          </w:rPr>
          <w:t>3:4–6</w:t>
        </w:r>
      </w:hyperlink>
      <w:r>
        <w:rPr>
          <w:lang w:val="id_ID" w:bidi="id_ID"/>
        </w:rPr>
        <w:t xml:space="preserve">; </w:t>
      </w:r>
      <w:hyperlink r:id="rId66">
        <w:r>
          <w:rPr>
            <w:lang w:val="id_ID" w:bidi="id_ID"/>
          </w:rPr>
          <w:rPr>
            <w:color w:val="0000EE"/>
            <w:u w:val="single"/>
          </w:rPr>
          <w:t>Yes. 40:5</w:t>
        </w:r>
      </w:hyperlink>
      <w:r>
        <w:rPr>
          <w:lang w:val="id_ID" w:bidi="id_ID"/>
        </w:rPr>
        <w:t>). Sementara silsilah di dalam Injil Matius (</w:t>
      </w:r>
      <w:hyperlink r:id="rId67">
        <w:r>
          <w:rPr>
            <w:lang w:val="id_ID" w:bidi="id_ID"/>
          </w:rPr>
          <w:rPr>
            <w:color w:val="0000EE"/>
            <w:u w:val="single"/>
          </w:rPr>
          <w:t>Mat. 1:1–17</w:t>
        </w:r>
      </w:hyperlink>
      <w:r>
        <w:rPr>
          <w:lang w:val="id_ID" w:bidi="id_ID"/>
        </w:rPr>
        <w:t>) menekankan keyahudian Yesus dari garis keturunan yang dimulai dari Abraham, bapa bangsa Israel, silsilah dalam Injil Lukas menelusuri sampai ke Adam, bapa seluruh umat manusia (</w:t>
      </w:r>
      <w:hyperlink r:id="rId68">
        <w:r>
          <w:rPr>
            <w:lang w:val="id_ID" w:bidi="id_ID"/>
          </w:rPr>
          <w:rPr>
            <w:color w:val="0000EE"/>
            <w:u w:val="single"/>
          </w:rPr>
          <w:t>Luk. 3:23–38</w:t>
        </w:r>
      </w:hyperlink>
      <w:r>
        <w:rPr>
          <w:lang w:val="id_ID" w:bidi="id_ID"/>
        </w:rPr>
        <w:t>). Di dalam khotbah-Nya di Nazaret, Yesus mengumumkan bahwa Allah selalu menyatakan anugerah-Nya kepada bangsa-bangsa non-Yahudi (</w:t>
      </w:r>
      <w:hyperlink r:id="rId69">
        <w:r>
          <w:rPr>
            <w:lang w:val="id_ID" w:bidi="id_ID"/>
          </w:rPr>
          <w:rPr>
            <w:color w:val="0000EE"/>
            <w:u w:val="single"/>
          </w:rPr>
          <w:t>4:24–27</w:t>
        </w:r>
      </w:hyperlink>
      <w:r>
        <w:rPr>
          <w:lang w:val="id_ID" w:bidi="id_ID"/>
        </w:rPr>
        <w:t>). Pesan Lukas adalah bahwa Allah mengasihi semua orang di segala tempat dan ingin agar semua yang terhilang didapat kembali (</w:t>
      </w:r>
      <w:hyperlink r:id="rId70">
        <w:r>
          <w:rPr>
            <w:lang w:val="id_ID" w:bidi="id_ID"/>
          </w:rPr>
          <w:rPr>
            <w:color w:val="0000EE"/>
            <w:u w:val="single"/>
          </w:rPr>
          <w:t>15:1–32</w:t>
        </w:r>
      </w:hyperlink>
      <w:r>
        <w:rPr>
          <w:lang w:val="id_ID" w:bidi="id_ID"/>
        </w:rPr>
        <w:t xml:space="preserve">; </w:t>
      </w:r>
      <w:hyperlink r:id="rId21">
        <w:r>
          <w:rPr>
            <w:lang w:val="id_ID" w:bidi="id_ID"/>
          </w:rPr>
          <w:rPr>
            <w:color w:val="0000EE"/>
            <w:u w:val="single"/>
          </w:rPr>
          <w:t>19:10</w:t>
        </w:r>
      </w:hyperlink>
      <w:r>
        <w:rPr>
          <w:lang w:val="id_ID" w:bidi="id_ID"/>
        </w:rPr>
        <w:t>).</w:t>
      </w:r>
    </w:p>
    <w:p>
      <w:pPr/>
      <w:r>
        <w:rPr>
          <w:lang w:val="id_ID" w:bidi="id_ID"/>
        </w:rPr>
      </w:r>
      <w:r>
        <w:rPr>
          <w:lang w:val="id_ID" w:bidi="id_ID"/>
        </w:rP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hyperlink r:id="rId71">
        <w:r>
          <w:rPr>
            <w:lang w:val="id_ID" w:bidi="id_ID"/>
          </w:rPr>
          <w:rPr>
            <w:color w:val="0000EE"/>
            <w:u w:val="single"/>
          </w:rPr>
          <w:t>4:28–30</w:t>
        </w:r>
      </w:hyperlink>
      <w:r>
        <w:rPr>
          <w:lang w:val="id_ID" w:bidi="id_ID"/>
        </w:rPr>
        <w:t>). Adegan ini memulai penolakan terhadap Yesus oleh bangsa-Nya sendiri dan mendahului penolakan orang-orang Yahudi terhadap gereja (sebagaimana diceritakan di dalam Kisah Para Rasul). Yerusalem menolak Mesiasnya sehingga dihukum Allah (</w:t>
      </w:r>
      <w:hyperlink r:id="rId72">
        <w:r>
          <w:rPr>
            <w:lang w:val="id_ID" w:bidi="id_ID"/>
          </w:rPr>
          <w:rPr>
            <w:color w:val="0000EE"/>
            <w:u w:val="single"/>
          </w:rPr>
          <w:t>Luk. 13:33–35</w:t>
        </w:r>
      </w:hyperlink>
      <w:r>
        <w:rPr>
          <w:lang w:val="id_ID" w:bidi="id_ID"/>
        </w:rPr>
        <w:t xml:space="preserve">; </w:t>
      </w:r>
      <w:hyperlink r:id="rId73">
        <w:r>
          <w:rPr>
            <w:lang w:val="id_ID" w:bidi="id_ID"/>
          </w:rPr>
          <w:rPr>
            <w:color w:val="0000EE"/>
            <w:u w:val="single"/>
          </w:rPr>
          <w:t>19:41–44</w:t>
        </w:r>
      </w:hyperlink>
      <w:r>
        <w:rPr>
          <w:lang w:val="id_ID" w:bidi="id_ID"/>
        </w:rP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hyperlink r:id="rId74">
        <w:r>
          <w:rPr>
            <w:lang w:val="id_ID" w:bidi="id_ID"/>
          </w:rPr>
          <w:rPr>
            <w:color w:val="0000EE"/>
            <w:u w:val="single"/>
          </w:rPr>
          <w:t>11:29–32</w:t>
        </w:r>
      </w:hyperlink>
      <w:r>
        <w:rPr>
          <w:lang w:val="id_ID" w:bidi="id_ID"/>
        </w:rPr>
        <w:t xml:space="preserve">, </w:t>
      </w:r>
      <w:hyperlink r:id="rId75">
        <w:r>
          <w:rPr>
            <w:lang w:val="id_ID" w:bidi="id_ID"/>
          </w:rPr>
          <w:rPr>
            <w:color w:val="0000EE"/>
            <w:u w:val="single"/>
          </w:rPr>
          <w:t>47–51</w:t>
        </w:r>
      </w:hyperlink>
      <w:r>
        <w:rPr>
          <w:lang w:val="id_ID" w:bidi="id_ID"/>
        </w:rPr>
        <w:t xml:space="preserve">; </w:t>
      </w:r>
      <w:hyperlink r:id="rId76">
        <w:r>
          <w:rPr>
            <w:lang w:val="id_ID" w:bidi="id_ID"/>
          </w:rPr>
          <w:rPr>
            <w:color w:val="0000EE"/>
            <w:u w:val="single"/>
          </w:rPr>
          <w:t>13:34–35</w:t>
        </w:r>
      </w:hyperlink>
      <w:r>
        <w:rPr>
          <w:lang w:val="id_ID" w:bidi="id_ID"/>
        </w:rPr>
        <w:t xml:space="preserve">; </w:t>
      </w:r>
      <w:hyperlink r:id="rId73">
        <w:r>
          <w:rPr>
            <w:lang w:val="id_ID" w:bidi="id_ID"/>
          </w:rPr>
          <w:rPr>
            <w:color w:val="0000EE"/>
            <w:u w:val="single"/>
          </w:rPr>
          <w:t>19:41–44</w:t>
        </w:r>
      </w:hyperlink>
      <w:r>
        <w:rPr>
          <w:lang w:val="id_ID" w:bidi="id_ID"/>
        </w:rPr>
        <w:t xml:space="preserve">; </w:t>
      </w:r>
      <w:hyperlink r:id="rId77">
        <w:r>
          <w:rPr>
            <w:lang w:val="id_ID" w:bidi="id_ID"/>
          </w:rPr>
          <w:rPr>
            <w:color w:val="0000EE"/>
            <w:u w:val="single"/>
          </w:rPr>
          <w:t>23:27–31</w:t>
        </w:r>
      </w:hyperlink>
      <w:r>
        <w:rPr>
          <w:lang w:val="id_ID" w:bidi="id_ID"/>
        </w:rPr>
        <w:t xml:space="preserve">; </w:t>
      </w:r>
      <w:hyperlink r:id="rId78">
        <w:r>
          <w:rPr>
            <w:lang w:val="id_ID" w:bidi="id_ID"/>
          </w:rPr>
          <w:rPr>
            <w:color w:val="0000EE"/>
            <w:u w:val="single"/>
          </w:rPr>
          <w:t>Kis. 13:46</w:t>
        </w:r>
      </w:hyperlink>
      <w:r>
        <w:rPr>
          <w:lang w:val="id_ID" w:bidi="id_ID"/>
        </w:rPr>
        <w:t xml:space="preserve">; </w:t>
      </w:r>
      <w:hyperlink r:id="rId79">
        <w:r>
          <w:rPr>
            <w:lang w:val="id_ID" w:bidi="id_ID"/>
          </w:rPr>
          <w:rPr>
            <w:color w:val="0000EE"/>
            <w:u w:val="single"/>
          </w:rPr>
          <w:t>28:25–28</w:t>
        </w:r>
      </w:hyperlink>
      <w:r>
        <w:rPr>
          <w:lang w:val="id_ID" w:bidi="id_ID"/>
        </w:rPr>
        <w:t xml:space="preserve">; baca juga </w:t>
      </w:r>
      <w:hyperlink r:id="rId80">
        <w:r>
          <w:rPr>
            <w:lang w:val="id_ID" w:bidi="id_ID"/>
          </w:rPr>
          <w:rPr>
            <w:color w:val="0000EE"/>
            <w:u w:val="single"/>
          </w:rPr>
          <w:t>Rm. 9–11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