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w:t>
      </w:r>
      <w:r>
        <w:rPr>
          <w:lang w:val="pt_PT" w:bidi="pt_PT"/>
        </w:rPr>
      </w:r>
    </w:p>
    <w:p>
      <w:pPr/>
      <w:r>
        <w:rPr>
          <w:lang w:val="pt_PT" w:bidi="pt_PT"/>
        </w:rPr>
      </w:r>
      <w:r>
        <w:rPr>
          <w:lang w:val="pt_PT" w:bidi="pt_PT"/>
        </w:rP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hyperlink r:id="rId13">
        <w:r>
          <w:rPr>
            <w:lang w:val="pt_PT" w:bidi="pt_PT"/>
          </w:rPr>
          <w:rPr>
            <w:color w:val="0000EE"/>
            <w:u w:val="single"/>
          </w:rPr>
          <w:t>Lv 11.44–45</w:t>
        </w:r>
      </w:hyperlink>
      <w:r>
        <w:rPr>
          <w:lang w:val="pt_PT" w:bidi="pt_PT"/>
        </w:rPr>
        <w:t xml:space="preserve">; </w:t>
      </w:r>
      <w:hyperlink r:id="rId14">
        <w:r>
          <w:rPr>
            <w:lang w:val="pt_PT" w:bidi="pt_PT"/>
          </w:rPr>
          <w:rPr>
            <w:color w:val="0000EE"/>
            <w:u w:val="single"/>
          </w:rPr>
          <w:t>1Pe 1.15–16</w:t>
        </w:r>
      </w:hyperlink>
      <w:r>
        <w:rPr>
          <w:lang w:val="pt_PT" w:bidi="pt_PT"/>
        </w:rPr>
        <w:t>).</w:t>
      </w:r>
    </w:p>
    <w:p>
      <w:pPr>
        <w:pStyle w:val="Heading2"/>
      </w:pPr>
      <w:r>
        <w:rPr>
          <w:lang w:val="pt_PT" w:bidi="pt_PT"/>
        </w:rPr>
        <w:t>Cenário</w:t>
      </w:r>
    </w:p>
    <w:p>
      <w:pPr/>
      <w:r>
        <w:rPr>
          <w:lang w:val="pt_PT" w:bidi="pt_PT"/>
        </w:rPr>
      </w:r>
      <w:r>
        <w:rPr>
          <w:lang w:val="pt_PT" w:bidi="pt_PT"/>
        </w:rPr>
        <w:t>Levítico continua o relato da redenção que começou com as promessas feitas a Abraão (</w:t>
      </w:r>
      <w:hyperlink r:id="rId15">
        <w:r>
          <w:rPr>
            <w:lang w:val="pt_PT" w:bidi="pt_PT"/>
          </w:rPr>
          <w:rPr>
            <w:color w:val="0000EE"/>
            <w:u w:val="single"/>
          </w:rPr>
          <w:t>Gn 12</w:t>
        </w:r>
      </w:hyperlink>
      <w:r>
        <w:rPr>
          <w:lang w:val="pt_PT" w:bidi="pt_PT"/>
        </w:rPr>
        <w:t xml:space="preserve">, </w:t>
      </w:r>
      <w:hyperlink r:id="rId16">
        <w:r>
          <w:rPr>
            <w:lang w:val="pt_PT" w:bidi="pt_PT"/>
          </w:rPr>
          <w:rPr>
            <w:color w:val="0000EE"/>
            <w:u w:val="single"/>
          </w:rPr>
          <w:t>15</w:t>
        </w:r>
      </w:hyperlink>
      <w:r>
        <w:rPr>
          <w:lang w:val="pt_PT" w:bidi="pt_PT"/>
        </w:rPr>
        <w:t xml:space="preserve">, </w:t>
      </w:r>
      <w:hyperlink r:id="rId17">
        <w:r>
          <w:rPr>
            <w:lang w:val="pt_PT" w:bidi="pt_PT"/>
          </w:rPr>
          <w:rPr>
            <w:color w:val="0000EE"/>
            <w:u w:val="single"/>
          </w:rPr>
          <w:t>17</w:t>
        </w:r>
      </w:hyperlink>
      <w:r>
        <w:rPr>
          <w:lang w:val="pt_PT" w:bidi="pt_PT"/>
        </w:rPr>
        <w:t>) e a libertação dos israelitas da escravidão no Egito (</w:t>
      </w:r>
      <w:hyperlink r:id="rId18">
        <w:r>
          <w:rPr>
            <w:lang w:val="pt_PT" w:bidi="pt_PT"/>
          </w:rPr>
          <w:rPr>
            <w:color w:val="0000EE"/>
            <w:u w:val="single"/>
          </w:rPr>
          <w:t>Êx 1–15</w:t>
        </w:r>
      </w:hyperlink>
      <w:r>
        <w:rPr>
          <w:lang w:val="pt_PT" w:bidi="pt_PT"/>
        </w:rP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hyperlink r:id="rId19">
        <w:r>
          <w:rPr>
            <w:lang w:val="pt_PT" w:bidi="pt_PT"/>
          </w:rPr>
          <w:rPr>
            <w:color w:val="0000EE"/>
            <w:u w:val="single"/>
          </w:rPr>
          <w:t>Êx 19.5–6</w:t>
        </w:r>
      </w:hyperlink>
      <w:r>
        <w:rPr>
          <w:lang w:val="pt_PT" w:bidi="pt_PT"/>
        </w:rPr>
        <w:t>). O povo de Israel havia recebido os Dez Mandamentos (</w:t>
      </w:r>
      <w:hyperlink r:id="rId20">
        <w:r>
          <w:rPr>
            <w:lang w:val="pt_PT" w:bidi="pt_PT"/>
          </w:rPr>
          <w:rPr>
            <w:color w:val="0000EE"/>
            <w:u w:val="single"/>
          </w:rPr>
          <w:t>Êx 20.1–17</w:t>
        </w:r>
      </w:hyperlink>
      <w:r>
        <w:rPr>
          <w:lang w:val="pt_PT" w:bidi="pt_PT"/>
        </w:rPr>
        <w:t>), os planos para o Tabernáculo (</w:t>
      </w:r>
      <w:hyperlink r:id="rId21">
        <w:r>
          <w:rPr>
            <w:lang w:val="pt_PT" w:bidi="pt_PT"/>
          </w:rPr>
          <w:rPr>
            <w:color w:val="0000EE"/>
            <w:u w:val="single"/>
          </w:rPr>
          <w:t>Êx 25–27</w:t>
        </w:r>
      </w:hyperlink>
      <w:r>
        <w:rPr>
          <w:lang w:val="pt_PT" w:bidi="pt_PT"/>
        </w:rPr>
        <w:t xml:space="preserve">; </w:t>
      </w:r>
      <w:hyperlink r:id="rId22">
        <w:r>
          <w:rPr>
            <w:lang w:val="pt_PT" w:bidi="pt_PT"/>
          </w:rPr>
          <w:rPr>
            <w:color w:val="0000EE"/>
            <w:u w:val="single"/>
          </w:rPr>
          <w:t>30.1–38</w:t>
        </w:r>
      </w:hyperlink>
      <w:r>
        <w:rPr>
          <w:lang w:val="pt_PT" w:bidi="pt_PT"/>
        </w:rPr>
        <w:t>), e a instituição do sacerdócio (</w:t>
      </w:r>
      <w:hyperlink r:id="rId23">
        <w:r>
          <w:rPr>
            <w:lang w:val="pt_PT" w:bidi="pt_PT"/>
          </w:rPr>
          <w:rPr>
            <w:color w:val="0000EE"/>
            <w:u w:val="single"/>
          </w:rPr>
          <w:t>Êx 28–29</w:t>
        </w:r>
      </w:hyperlink>
      <w:r>
        <w:rPr>
          <w:lang w:val="pt_PT" w:bidi="pt_PT"/>
        </w:rPr>
        <w:t>). O Tabernáculo havia sido concluído e dedicado (</w:t>
      </w:r>
      <w:hyperlink r:id="rId24">
        <w:r>
          <w:rPr>
            <w:lang w:val="pt_PT" w:bidi="pt_PT"/>
          </w:rPr>
          <w:rPr>
            <w:color w:val="0000EE"/>
            <w:u w:val="single"/>
          </w:rPr>
          <w:t>Êx 35–40</w:t>
        </w:r>
      </w:hyperlink>
      <w:r>
        <w:rPr>
          <w:lang w:val="pt_PT" w:bidi="pt_PT"/>
        </w:rPr>
        <w:t>). Agora, em Levítico, Deus falou a Moisés sobre sua própria natureza santa, fornecendo instruções sobre adoração e conduta apropriadas para Israel como seu povo da aliança.</w:t>
      </w:r>
    </w:p>
    <w:p>
      <w:pPr>
        <w:pStyle w:val="Heading2"/>
      </w:pPr>
      <w:r>
        <w:rPr>
          <w:lang w:val="pt_PT" w:bidi="pt_PT"/>
        </w:rPr>
        <w:t>Resumo</w:t>
      </w:r>
    </w:p>
    <w:p>
      <w:pPr/>
      <w:r>
        <w:rPr>
          <w:lang w:val="pt_PT" w:bidi="pt_PT"/>
        </w:rPr>
      </w:r>
      <w:r>
        <w:rPr>
          <w:lang w:val="pt_PT" w:bidi="pt_PT"/>
        </w:rPr>
        <w:t xml:space="preserve">As regulamentações em Levítico tratam principalmente das atividades e responsabilidades da tribo sacerdotal de Levi, especialmente do sumo sacerdote (veja </w:t>
      </w:r>
      <w:hyperlink r:id="rId25">
        <w:r>
          <w:rPr>
            <w:lang w:val="pt_PT" w:bidi="pt_PT"/>
          </w:rPr>
          <w:rPr>
            <w:color w:val="0000EE"/>
            <w:u w:val="single"/>
          </w:rPr>
          <w:t>Êx 28</w:t>
        </w:r>
      </w:hyperlink>
      <w:r>
        <w:rPr>
          <w:lang w:val="pt_PT" w:bidi="pt_PT"/>
        </w:rPr>
        <w:t xml:space="preserve">; </w:t>
      </w:r>
      <w:hyperlink r:id="rId26">
        <w:r>
          <w:rPr>
            <w:lang w:val="pt_PT" w:bidi="pt_PT"/>
          </w:rPr>
          <w:rPr>
            <w:color w:val="0000EE"/>
            <w:u w:val="single"/>
          </w:rPr>
          <w:t>Nm 3.44–4.49</w:t>
        </w:r>
      </w:hyperlink>
      <w:r>
        <w:rPr>
          <w:lang w:val="pt_PT" w:bidi="pt_PT"/>
        </w:rP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pPr/>
      <w:r>
        <w:rPr>
          <w:lang w:val="pt_PT" w:bidi="pt_PT"/>
        </w:rPr>
      </w:r>
      <w:r>
        <w:rPr>
          <w:lang w:val="pt_PT" w:bidi="pt_PT"/>
        </w:rP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pPr/>
      <w:r>
        <w:rPr>
          <w:lang w:val="pt_PT" w:bidi="pt_PT"/>
        </w:rPr>
      </w:r>
      <w:r>
        <w:rPr>
          <w:lang w:val="pt_PT" w:bidi="pt_PT"/>
        </w:rPr>
        <w:t xml:space="preserve">Deus chama Israel para conhecê-lo e amá-lo (veja </w:t>
      </w:r>
      <w:hyperlink r:id="rId27">
        <w:r>
          <w:rPr>
            <w:lang w:val="pt_PT" w:bidi="pt_PT"/>
          </w:rPr>
          <w:rPr>
            <w:color w:val="0000EE"/>
            <w:u w:val="single"/>
          </w:rPr>
          <w:t>Dt 6.5</w:t>
        </w:r>
      </w:hyperlink>
      <w:r>
        <w:rPr>
          <w:lang w:val="pt_PT" w:bidi="pt_PT"/>
        </w:rPr>
        <w:t xml:space="preserve">; </w:t>
      </w:r>
      <w:hyperlink r:id="rId28">
        <w:r>
          <w:rPr>
            <w:lang w:val="pt_PT" w:bidi="pt_PT"/>
          </w:rPr>
          <w:rPr>
            <w:color w:val="0000EE"/>
            <w:u w:val="single"/>
          </w:rPr>
          <w:t>11.1</w:t>
        </w:r>
      </w:hyperlink>
      <w:r>
        <w:rPr>
          <w:lang w:val="pt_PT" w:bidi="pt_PT"/>
        </w:rPr>
        <w:t>). Como resultado, eles também amarão e servirão uns aos outros (</w:t>
      </w:r>
      <w:hyperlink r:id="rId29">
        <w:r>
          <w:rPr>
            <w:lang w:val="pt_PT" w:bidi="pt_PT"/>
          </w:rPr>
          <w:rPr>
            <w:color w:val="0000EE"/>
            <w:u w:val="single"/>
          </w:rPr>
          <w:t>19.18</w:t>
        </w:r>
      </w:hyperlink>
      <w:r>
        <w:rPr>
          <w:lang w:val="pt_PT" w:bidi="pt_PT"/>
        </w:rPr>
        <w:t>,</w:t>
      </w:r>
      <w:hyperlink r:id="rId30">
        <w:r>
          <w:rPr>
            <w:lang w:val="pt_PT" w:bidi="pt_PT"/>
          </w:rPr>
          <w:rPr>
            <w:color w:val="0000EE"/>
            <w:u w:val="single"/>
          </w:rPr>
          <w:t>33–34</w:t>
        </w:r>
      </w:hyperlink>
      <w:r>
        <w:rPr>
          <w:lang w:val="pt_PT" w:bidi="pt_PT"/>
        </w:rPr>
        <w:t>). Os rituais e regulamentos revelados em Levítico ensinam os israelitas a integrar amor e serviço em suas vidas, tanto como indivíduos quanto como nação.</w:t>
      </w:r>
    </w:p>
    <w:p>
      <w:pPr>
        <w:pStyle w:val="Heading2"/>
      </w:pPr>
      <w:r>
        <w:rPr>
          <w:lang w:val="pt_PT" w:bidi="pt_PT"/>
        </w:rPr>
        <w:t>Autoria</w:t>
      </w:r>
    </w:p>
    <w:p>
      <w:pPr/>
      <w:r>
        <w:rPr>
          <w:lang w:val="pt_PT" w:bidi="pt_PT"/>
        </w:rPr>
      </w:r>
      <w:r>
        <w:rPr>
          <w:lang w:val="pt_PT" w:bidi="pt_PT"/>
        </w:rP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pPr/>
      <w:r>
        <w:rPr>
          <w:lang w:val="pt_PT" w:bidi="pt_PT"/>
        </w:rPr>
      </w:r>
      <w:r>
        <w:rPr>
          <w:lang w:val="pt_PT" w:bidi="pt_PT"/>
        </w:rP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hyperlink r:id="rId31">
        <w:r>
          <w:rPr>
            <w:lang w:val="pt_PT" w:bidi="pt_PT"/>
          </w:rPr>
          <w:rPr>
            <w:color w:val="0000EE"/>
            <w:u w:val="single"/>
          </w:rPr>
          <w:t>At 7.20–22</w:t>
        </w:r>
      </w:hyperlink>
      <w:r>
        <w:rPr>
          <w:lang w:val="pt_PT" w:bidi="pt_PT"/>
        </w:rPr>
        <w:t>) e bastante capaz de escrever Levítico. O livro começa e termina com declarações afirmando que o conteúdo de Levítico foi dado a Israel por Deus através de Moisés (</w:t>
      </w:r>
      <w:hyperlink r:id="rId32">
        <w:r>
          <w:rPr>
            <w:lang w:val="pt_PT" w:bidi="pt_PT"/>
          </w:rPr>
          <w:rPr>
            <w:color w:val="0000EE"/>
            <w:u w:val="single"/>
          </w:rPr>
          <w:t>1.1–2</w:t>
        </w:r>
      </w:hyperlink>
      <w:r>
        <w:rPr>
          <w:lang w:val="pt_PT" w:bidi="pt_PT"/>
        </w:rPr>
        <w:t xml:space="preserve">; </w:t>
      </w:r>
      <w:hyperlink r:id="rId33">
        <w:r>
          <w:rPr>
            <w:lang w:val="pt_PT" w:bidi="pt_PT"/>
          </w:rPr>
          <w:rPr>
            <w:color w:val="0000EE"/>
            <w:u w:val="single"/>
          </w:rPr>
          <w:t>27.34</w:t>
        </w:r>
      </w:hyperlink>
      <w:r>
        <w:rPr>
          <w:lang w:val="pt_PT" w:bidi="pt_PT"/>
        </w:rPr>
        <w:t xml:space="preserve">). Levítico descreve repetidamente como Moisés recebeu as instruções do Senhor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5.14</w:t>
        </w:r>
      </w:hyperlink>
      <w:r>
        <w:rPr>
          <w:lang w:val="pt_PT" w:bidi="pt_PT"/>
        </w:rPr>
        <w:t xml:space="preserve">; </w:t>
      </w:r>
      <w:hyperlink r:id="rId36">
        <w:r>
          <w:rPr>
            <w:lang w:val="pt_PT" w:bidi="pt_PT"/>
          </w:rPr>
          <w:rPr>
            <w:color w:val="0000EE"/>
            <w:u w:val="single"/>
          </w:rPr>
          <w:t>6.1</w:t>
        </w:r>
      </w:hyperlink>
      <w:r>
        <w:rPr>
          <w:lang w:val="pt_PT" w:bidi="pt_PT"/>
        </w:rPr>
        <w:t>,</w:t>
      </w:r>
      <w:hyperlink r:id="rId37">
        <w:r>
          <w:rPr>
            <w:lang w:val="pt_PT" w:bidi="pt_PT"/>
          </w:rPr>
          <w:rPr>
            <w:color w:val="0000EE"/>
            <w:u w:val="single"/>
          </w:rPr>
          <w:t>8</w:t>
        </w:r>
      </w:hyperlink>
      <w:r>
        <w:rPr>
          <w:lang w:val="pt_PT" w:bidi="pt_PT"/>
        </w:rPr>
        <w:t>,</w:t>
      </w:r>
      <w:hyperlink r:id="rId38">
        <w:r>
          <w:rPr>
            <w:lang w:val="pt_PT" w:bidi="pt_PT"/>
          </w:rPr>
          <w:rPr>
            <w:color w:val="0000EE"/>
            <w:u w:val="single"/>
          </w:rPr>
          <w:t>19</w:t>
        </w:r>
      </w:hyperlink>
      <w:r>
        <w:rPr>
          <w:lang w:val="pt_PT" w:bidi="pt_PT"/>
        </w:rPr>
        <w:t>,</w:t>
      </w:r>
      <w:hyperlink r:id="rId39">
        <w:r>
          <w:rPr>
            <w:lang w:val="pt_PT" w:bidi="pt_PT"/>
          </w:rPr>
          <w:rPr>
            <w:color w:val="0000EE"/>
            <w:u w:val="single"/>
          </w:rPr>
          <w:t>24</w:t>
        </w:r>
      </w:hyperlink>
      <w:r>
        <w:rPr>
          <w:lang w:val="pt_PT" w:bidi="pt_PT"/>
        </w:rPr>
        <w:t xml:space="preserve">; </w:t>
      </w:r>
      <w:hyperlink r:id="rId40">
        <w:r>
          <w:rPr>
            <w:lang w:val="pt_PT" w:bidi="pt_PT"/>
          </w:rPr>
          <w:rPr>
            <w:color w:val="0000EE"/>
            <w:u w:val="single"/>
          </w:rPr>
          <w:t>7.22</w:t>
        </w:r>
      </w:hyperlink>
      <w:r>
        <w:rPr>
          <w:lang w:val="pt_PT" w:bidi="pt_PT"/>
        </w:rPr>
        <w:t>,</w:t>
      </w:r>
      <w:hyperlink r:id="rId41">
        <w:r>
          <w:rPr>
            <w:lang w:val="pt_PT" w:bidi="pt_PT"/>
          </w:rPr>
          <w:rPr>
            <w:color w:val="0000EE"/>
            <w:u w:val="single"/>
          </w:rPr>
          <w:t>28</w:t>
        </w:r>
      </w:hyperlink>
      <w:r>
        <w:rPr>
          <w:lang w:val="pt_PT" w:bidi="pt_PT"/>
        </w:rPr>
        <w:t xml:space="preserve">; </w:t>
      </w:r>
      <w:hyperlink r:id="rId42">
        <w:r>
          <w:rPr>
            <w:lang w:val="pt_PT" w:bidi="pt_PT"/>
          </w:rPr>
          <w:rPr>
            <w:color w:val="0000EE"/>
            <w:u w:val="single"/>
          </w:rPr>
          <w:t>8.1</w:t>
        </w:r>
      </w:hyperlink>
      <w:r>
        <w:rPr>
          <w:lang w:val="pt_PT" w:bidi="pt_PT"/>
        </w:rPr>
        <w:t>) e as executou (</w:t>
      </w:r>
      <w:hyperlink r:id="rId43">
        <w:r>
          <w:rPr>
            <w:lang w:val="pt_PT" w:bidi="pt_PT"/>
          </w:rPr>
          <w:rPr>
            <w:color w:val="0000EE"/>
            <w:u w:val="single"/>
          </w:rPr>
          <w:t>8.4–10.20</w:t>
        </w:r>
      </w:hyperlink>
      <w:r>
        <w:rPr>
          <w:lang w:val="pt_PT" w:bidi="pt_PT"/>
        </w:rPr>
        <w:t xml:space="preserve">). O Antigo Testamento frequentemente se refere a Moisés como o autor do Pentateuco (Gênesis — Deuteronômio; veja </w:t>
      </w:r>
      <w:hyperlink r:id="rId44">
        <w:r>
          <w:rPr>
            <w:lang w:val="pt_PT" w:bidi="pt_PT"/>
          </w:rPr>
          <w:rPr>
            <w:color w:val="0000EE"/>
            <w:u w:val="single"/>
          </w:rPr>
          <w:t>Js 8.31–32</w:t>
        </w:r>
      </w:hyperlink>
      <w:r>
        <w:rPr>
          <w:lang w:val="pt_PT" w:bidi="pt_PT"/>
        </w:rPr>
        <w:t xml:space="preserve">; </w:t>
      </w:r>
      <w:hyperlink r:id="rId45">
        <w:r>
          <w:rPr>
            <w:lang w:val="pt_PT" w:bidi="pt_PT"/>
          </w:rPr>
          <w:rPr>
            <w:color w:val="0000EE"/>
            <w:u w:val="single"/>
          </w:rPr>
          <w:t>23.6</w:t>
        </w:r>
      </w:hyperlink>
      <w:r>
        <w:rPr>
          <w:lang w:val="pt_PT" w:bidi="pt_PT"/>
        </w:rPr>
        <w:t xml:space="preserve">; </w:t>
      </w:r>
      <w:hyperlink r:id="rId46">
        <w:r>
          <w:rPr>
            <w:lang w:val="pt_PT" w:bidi="pt_PT"/>
          </w:rPr>
          <w:rPr>
            <w:color w:val="0000EE"/>
            <w:u w:val="single"/>
          </w:rPr>
          <w:t>1Rs 2.3</w:t>
        </w:r>
      </w:hyperlink>
      <w:r>
        <w:rPr>
          <w:lang w:val="pt_PT" w:bidi="pt_PT"/>
        </w:rPr>
        <w:t xml:space="preserve">; </w:t>
      </w:r>
      <w:hyperlink r:id="rId47">
        <w:r>
          <w:rPr>
            <w:lang w:val="pt_PT" w:bidi="pt_PT"/>
          </w:rPr>
          <w:rPr>
            <w:color w:val="0000EE"/>
            <w:u w:val="single"/>
          </w:rPr>
          <w:t>2Rs 14.6</w:t>
        </w:r>
      </w:hyperlink>
      <w:r>
        <w:rPr>
          <w:lang w:val="pt_PT" w:bidi="pt_PT"/>
        </w:rPr>
        <w:t xml:space="preserve">; </w:t>
      </w:r>
      <w:hyperlink r:id="rId48">
        <w:r>
          <w:rPr>
            <w:lang w:val="pt_PT" w:bidi="pt_PT"/>
          </w:rPr>
          <w:rPr>
            <w:color w:val="0000EE"/>
            <w:u w:val="single"/>
          </w:rPr>
          <w:t>23.25</w:t>
        </w:r>
      </w:hyperlink>
      <w:r>
        <w:rPr>
          <w:lang w:val="pt_PT" w:bidi="pt_PT"/>
        </w:rPr>
        <w:t xml:space="preserve">; </w:t>
      </w:r>
      <w:hyperlink r:id="rId49">
        <w:r>
          <w:rPr>
            <w:lang w:val="pt_PT" w:bidi="pt_PT"/>
          </w:rPr>
          <w:rPr>
            <w:color w:val="0000EE"/>
            <w:u w:val="single"/>
          </w:rPr>
          <w:t>2Cr 23.18</w:t>
        </w:r>
      </w:hyperlink>
      <w:r>
        <w:rPr>
          <w:lang w:val="pt_PT" w:bidi="pt_PT"/>
        </w:rPr>
        <w:t xml:space="preserve">; </w:t>
      </w:r>
      <w:hyperlink r:id="rId50">
        <w:r>
          <w:rPr>
            <w:lang w:val="pt_PT" w:bidi="pt_PT"/>
          </w:rPr>
          <w:rPr>
            <w:color w:val="0000EE"/>
            <w:u w:val="single"/>
          </w:rPr>
          <w:t>30.16</w:t>
        </w:r>
      </w:hyperlink>
      <w:r>
        <w:rPr>
          <w:lang w:val="pt_PT" w:bidi="pt_PT"/>
        </w:rPr>
        <w:t xml:space="preserve">; </w:t>
      </w:r>
      <w:hyperlink r:id="rId51">
        <w:r>
          <w:rPr>
            <w:lang w:val="pt_PT" w:bidi="pt_PT"/>
          </w:rPr>
          <w:rPr>
            <w:color w:val="0000EE"/>
            <w:u w:val="single"/>
          </w:rPr>
          <w:t>Ed 3.2</w:t>
        </w:r>
      </w:hyperlink>
      <w:r>
        <w:rPr>
          <w:lang w:val="pt_PT" w:bidi="pt_PT"/>
        </w:rPr>
        <w:t xml:space="preserv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Ne 8.1</w:t>
        </w:r>
      </w:hyperlink>
      <w:r>
        <w:rPr>
          <w:lang w:val="pt_PT" w:bidi="pt_PT"/>
        </w:rPr>
        <w:t xml:space="preserve">; </w:t>
      </w:r>
      <w:hyperlink r:id="rId54">
        <w:r>
          <w:rPr>
            <w:lang w:val="pt_PT" w:bidi="pt_PT"/>
          </w:rPr>
          <w:rPr>
            <w:color w:val="0000EE"/>
            <w:u w:val="single"/>
          </w:rPr>
          <w:t>Dn 9.11–13</w:t>
        </w:r>
      </w:hyperlink>
      <w:r>
        <w:rPr>
          <w:lang w:val="pt_PT" w:bidi="pt_PT"/>
        </w:rPr>
        <w:t>). O Novo Testamento faz o mesmo (</w:t>
      </w:r>
      <w:hyperlink r:id="rId55">
        <w:r>
          <w:rPr>
            <w:lang w:val="pt_PT" w:bidi="pt_PT"/>
          </w:rPr>
          <w:rPr>
            <w:color w:val="0000EE"/>
            <w:u w:val="single"/>
          </w:rPr>
          <w:t>Mt 19.7–8</w:t>
        </w:r>
      </w:hyperlink>
      <w:r>
        <w:rPr>
          <w:lang w:val="pt_PT" w:bidi="pt_PT"/>
        </w:rPr>
        <w:t xml:space="preserve">; </w:t>
      </w:r>
      <w:hyperlink r:id="rId56">
        <w:r>
          <w:rPr>
            <w:lang w:val="pt_PT" w:bidi="pt_PT"/>
          </w:rPr>
          <w:rPr>
            <w:color w:val="0000EE"/>
            <w:u w:val="single"/>
          </w:rPr>
          <w:t>Lc 2.22</w:t>
        </w:r>
      </w:hyperlink>
      <w:r>
        <w:rPr>
          <w:lang w:val="pt_PT" w:bidi="pt_PT"/>
        </w:rPr>
        <w:t xml:space="preserve">; </w:t>
      </w:r>
      <w:hyperlink r:id="rId57">
        <w:r>
          <w:rPr>
            <w:lang w:val="pt_PT" w:bidi="pt_PT"/>
          </w:rPr>
          <w:rPr>
            <w:color w:val="0000EE"/>
            <w:u w:val="single"/>
          </w:rPr>
          <w:t>24.44</w:t>
        </w:r>
      </w:hyperlink>
      <w:r>
        <w:rPr>
          <w:lang w:val="pt_PT" w:bidi="pt_PT"/>
        </w:rPr>
        <w:t xml:space="preserve">; </w:t>
      </w:r>
      <w:hyperlink r:id="rId58">
        <w:r>
          <w:rPr>
            <w:lang w:val="pt_PT" w:bidi="pt_PT"/>
          </w:rPr>
          <w:rPr>
            <w:color w:val="0000EE"/>
            <w:u w:val="single"/>
          </w:rPr>
          <w:t>Jo 7.19</w:t>
        </w:r>
      </w:hyperlink>
      <w:r>
        <w:rPr>
          <w:lang w:val="pt_PT" w:bidi="pt_PT"/>
        </w:rPr>
        <w:t>,</w:t>
      </w:r>
      <w:hyperlink r:id="rId59">
        <w:r>
          <w:rPr>
            <w:lang w:val="pt_PT" w:bidi="pt_PT"/>
          </w:rPr>
          <w:rPr>
            <w:color w:val="0000EE"/>
            <w:u w:val="single"/>
          </w:rPr>
          <w:t>23</w:t>
        </w:r>
      </w:hyperlink>
      <w:r>
        <w:rPr>
          <w:lang w:val="pt_PT" w:bidi="pt_PT"/>
        </w:rPr>
        <w:t xml:space="preserve">; </w:t>
      </w:r>
      <w:hyperlink r:id="rId60">
        <w:r>
          <w:rPr>
            <w:lang w:val="pt_PT" w:bidi="pt_PT"/>
          </w:rPr>
          <w:rPr>
            <w:color w:val="0000EE"/>
            <w:u w:val="single"/>
          </w:rPr>
          <w:t>Rm 10.5</w:t>
        </w:r>
      </w:hyperlink>
      <w:r>
        <w:rPr>
          <w:lang w:val="pt_PT" w:bidi="pt_PT"/>
        </w:rPr>
        <w:t xml:space="preserve">; </w:t>
      </w:r>
      <w:hyperlink r:id="rId61">
        <w:r>
          <w:rPr>
            <w:lang w:val="pt_PT" w:bidi="pt_PT"/>
          </w:rPr>
          <w:rPr>
            <w:color w:val="0000EE"/>
            <w:u w:val="single"/>
          </w:rPr>
          <w:t>1Co 9.9</w:t>
        </w:r>
      </w:hyperlink>
      <w:r>
        <w:rPr>
          <w:lang w:val="pt_PT" w:bidi="pt_PT"/>
        </w:rPr>
        <w:t xml:space="preserve">; </w:t>
      </w:r>
      <w:hyperlink r:id="rId62">
        <w:r>
          <w:rPr>
            <w:lang w:val="pt_PT" w:bidi="pt_PT"/>
          </w:rPr>
          <w:rPr>
            <w:color w:val="0000EE"/>
            <w:u w:val="single"/>
          </w:rPr>
          <w:t>Hb 10.28</w:t>
        </w:r>
      </w:hyperlink>
      <w:r>
        <w:rPr>
          <w:lang w:val="pt_PT" w:bidi="pt_PT"/>
        </w:rPr>
        <w:t xml:space="preserve">). Veja também </w:t>
      </w:r>
      <w:r>
        <w:rPr>
          <w:lang w:val="pt_PT" w:bidi="pt_PT"/>
        </w:rPr>
        <w:t>Introdução ao Livro de Gênesis</w:t>
      </w:r>
      <w:r>
        <w:rPr>
          <w:lang w:val="pt_PT" w:bidi="pt_PT"/>
        </w:rPr>
        <w:t>, “Autoria”.</w:t>
      </w:r>
    </w:p>
    <w:p>
      <w:pPr>
        <w:pStyle w:val="Heading2"/>
      </w:pPr>
      <w:r>
        <w:rPr>
          <w:lang w:val="pt_PT" w:bidi="pt_PT"/>
        </w:rPr>
        <w:t>Significado e mensagem</w:t>
      </w:r>
    </w:p>
    <w:p>
      <w:pPr/>
      <w:r>
        <w:rPr>
          <w:lang w:val="pt_PT" w:bidi="pt_PT"/>
        </w:rPr>
      </w:r>
      <w:r>
        <w:rPr>
          <w:lang w:val="pt_PT" w:bidi="pt_PT"/>
        </w:rP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hyperlink r:id="rId13">
        <w:r>
          <w:rPr>
            <w:lang w:val="pt_PT" w:bidi="pt_PT"/>
          </w:rPr>
          <w:rPr>
            <w:color w:val="0000EE"/>
            <w:u w:val="single"/>
          </w:rPr>
          <w:t>11.44–45</w:t>
        </w:r>
      </w:hyperlink>
      <w:r>
        <w:rPr>
          <w:lang w:val="pt_PT" w:bidi="pt_PT"/>
        </w:rPr>
        <w:t>).</w:t>
      </w:r>
    </w:p>
    <w:p>
      <w:pPr/>
      <w:r>
        <w:rPr>
          <w:lang w:val="pt_PT" w:bidi="pt_PT"/>
        </w:rPr>
      </w:r>
      <w:r>
        <w:rPr>
          <w:lang w:val="pt_PT" w:bidi="pt_PT"/>
        </w:rP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hyperlink r:id="rId13">
        <w:r>
          <w:rPr>
            <w:lang w:val="pt_PT" w:bidi="pt_PT"/>
          </w:rPr>
          <w:rPr>
            <w:color w:val="0000EE"/>
            <w:u w:val="single"/>
          </w:rPr>
          <w:t>Lv 11.44–45</w:t>
        </w:r>
      </w:hyperlink>
      <w:r>
        <w:rPr>
          <w:lang w:val="pt_PT" w:bidi="pt_PT"/>
        </w:rPr>
        <w:t xml:space="preserve">; </w:t>
      </w:r>
      <w:hyperlink r:id="rId63">
        <w:r>
          <w:rPr>
            <w:lang w:val="pt_PT" w:bidi="pt_PT"/>
          </w:rPr>
          <w:rPr>
            <w:color w:val="0000EE"/>
            <w:u w:val="single"/>
          </w:rPr>
          <w:t>19.2</w:t>
        </w:r>
      </w:hyperlink>
      <w:r>
        <w:rPr>
          <w:lang w:val="pt_PT" w:bidi="pt_PT"/>
        </w:rPr>
        <w:t xml:space="preserve">; veja </w:t>
      </w:r>
      <w:hyperlink r:id="rId64">
        <w:r>
          <w:rPr>
            <w:lang w:val="pt_PT" w:bidi="pt_PT"/>
          </w:rPr>
          <w:rPr>
            <w:color w:val="0000EE"/>
            <w:u w:val="single"/>
          </w:rPr>
          <w:t>1Co 3.17</w:t>
        </w:r>
      </w:hyperlink>
      <w:r>
        <w:rPr>
          <w:lang w:val="pt_PT" w:bidi="pt_PT"/>
        </w:rPr>
        <w:t xml:space="preserve">; </w:t>
      </w:r>
      <w:hyperlink r:id="rId65">
        <w:r>
          <w:rPr>
            <w:lang w:val="pt_PT" w:bidi="pt_PT"/>
          </w:rPr>
          <w:rPr>
            <w:color w:val="0000EE"/>
            <w:u w:val="single"/>
          </w:rPr>
          <w:t>1Pe 1.15</w:t>
        </w:r>
      </w:hyperlink>
      <w:r>
        <w:rPr>
          <w:lang w:val="pt_PT" w:bidi="pt_PT"/>
        </w:rPr>
        <w:t>).</w:t>
      </w:r>
    </w:p>
    <w:p>
      <w:pPr/>
      <w:r>
        <w:rPr>
          <w:lang w:val="pt_PT" w:bidi="pt_PT"/>
        </w:rPr>
      </w:r>
      <w:r>
        <w:rPr>
          <w:lang w:val="pt_PT" w:bidi="pt_PT"/>
        </w:rP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hyperlink r:id="rId66">
        <w:r>
          <w:rPr>
            <w:lang w:val="pt_PT" w:bidi="pt_PT"/>
          </w:rPr>
          <w:rPr>
            <w:color w:val="0000EE"/>
            <w:u w:val="single"/>
          </w:rPr>
          <w:t>Mt 22.39</w:t>
        </w:r>
      </w:hyperlink>
      <w:r>
        <w:rPr>
          <w:lang w:val="pt_PT" w:bidi="pt_PT"/>
        </w:rPr>
        <w:t xml:space="preserve">; </w:t>
      </w:r>
      <w:hyperlink r:id="rId67">
        <w:r>
          <w:rPr>
            <w:lang w:val="pt_PT" w:bidi="pt_PT"/>
          </w:rPr>
          <w:rPr>
            <w:color w:val="0000EE"/>
            <w:u w:val="single"/>
          </w:rPr>
          <w:t>Mc 12.31</w:t>
        </w:r>
      </w:hyperlink>
      <w:r>
        <w:rPr>
          <w:lang w:val="pt_PT" w:bidi="pt_PT"/>
        </w:rPr>
        <w:t xml:space="preserve">; </w:t>
      </w:r>
      <w:hyperlink r:id="rId68">
        <w:r>
          <w:rPr>
            <w:lang w:val="pt_PT" w:bidi="pt_PT"/>
          </w:rPr>
          <w:rPr>
            <w:color w:val="0000EE"/>
            <w:u w:val="single"/>
          </w:rPr>
          <w:t>Lc 10.27</w:t>
        </w:r>
      </w:hyperlink>
      <w:r>
        <w:rPr>
          <w:lang w:val="pt_PT" w:bidi="pt_PT"/>
        </w:rPr>
        <w:t xml:space="preserve">; </w:t>
      </w:r>
      <w:hyperlink r:id="rId69">
        <w:r>
          <w:rPr>
            <w:lang w:val="pt_PT" w:bidi="pt_PT"/>
          </w:rPr>
          <w:rPr>
            <w:color w:val="0000EE"/>
            <w:u w:val="single"/>
          </w:rPr>
          <w:t>Rm 13.9</w:t>
        </w:r>
      </w:hyperlink>
      <w:r>
        <w:rPr>
          <w:lang w:val="pt_PT" w:bidi="pt_PT"/>
        </w:rPr>
        <w:t xml:space="preserve">; </w:t>
      </w:r>
      <w:hyperlink r:id="rId70">
        <w:r>
          <w:rPr>
            <w:lang w:val="pt_PT" w:bidi="pt_PT"/>
          </w:rPr>
          <w:rPr>
            <w:color w:val="0000EE"/>
            <w:u w:val="single"/>
          </w:rPr>
          <w:t>Gl 5.14</w:t>
        </w:r>
      </w:hyperlink>
      <w:r>
        <w:rPr>
          <w:lang w:val="pt_PT" w:bidi="pt_PT"/>
        </w:rPr>
        <w:t xml:space="preserve">; </w:t>
      </w:r>
      <w:hyperlink r:id="rId71">
        <w:r>
          <w:rPr>
            <w:lang w:val="pt_PT" w:bidi="pt_PT"/>
          </w:rPr>
          <w:rPr>
            <w:color w:val="0000EE"/>
            <w:u w:val="single"/>
          </w:rPr>
          <w:t>Tg 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