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hyperlink r:id="rId13">
        <w:r>
          <w:rPr>
            <w:lang w:val="pt_PT" w:bidi="pt_PT"/>
          </w:rPr>
          <w:rPr>
            <w:color w:val="0000EE"/>
            <w:u w:val="single"/>
          </w:rPr>
          <w:t>1.1–2.5</w:t>
        </w:r>
      </w:hyperlink>
      <w:r>
        <w:rPr>
          <w:lang w:val="pt_PT" w:bidi="pt_PT"/>
        </w:rPr>
        <w:t xml:space="preserve"> e </w:t>
      </w:r>
      <w:hyperlink r:id="rId14">
        <w:r>
          <w:rPr>
            <w:lang w:val="pt_PT" w:bidi="pt_PT"/>
          </w:rPr>
          <w:rPr>
            <w:color w:val="0000EE"/>
            <w:u w:val="single"/>
          </w:rPr>
          <w:t>2.6–3.6</w:t>
        </w:r>
      </w:hyperlink>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hyperlink r:id="rId15">
        <w:r>
          <w:rPr>
            <w:lang w:val="pt_PT" w:bidi="pt_PT"/>
          </w:rPr>
          <w:rPr>
            <w:color w:val="0000EE"/>
            <w:u w:val="single"/>
          </w:rPr>
          <w:t>17–21</w:t>
        </w:r>
      </w:hyperlink>
      <w:r>
        <w:rPr>
          <w:lang w:val="pt_PT" w:bidi="pt_PT"/>
        </w:rPr>
        <w:t>) e é resumido na frase repetida “Naqueles dias Israel não tinha rei; todo o povo fazia o que parecia certo aos seus próprios olhos”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hyperlink r:id="rId20">
        <w:r>
          <w:rPr>
            <w:lang w:val="pt_PT" w:bidi="pt_PT"/>
          </w:rPr>
          <w:rPr>
            <w:color w:val="0000EE"/>
            <w:u w:val="single"/>
          </w:rPr>
          <w:t>2.16–19</w:t>
        </w:r>
      </w:hyperlink>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hyperlink r:id="rId21">
        <w:r>
          <w:rPr>
            <w:lang w:val="pt_PT" w:bidi="pt_PT"/>
          </w:rPr>
          <w:rPr>
            <w:color w:val="0000EE"/>
            <w:u w:val="single"/>
          </w:rPr>
          <w:t>Js 24.28–31</w:t>
        </w:r>
      </w:hyperlink>
      <w:r>
        <w:rPr>
          <w:lang w:val="pt_PT" w:bidi="pt_PT"/>
        </w:rPr>
        <w:t>. O primeiro prólogo (</w:t>
      </w:r>
      <w:hyperlink r:id="rId13">
        <w:r>
          <w:rPr>
            <w:lang w:val="pt_PT" w:bidi="pt_PT"/>
          </w:rPr>
          <w:rPr>
            <w:color w:val="0000EE"/>
            <w:u w:val="single"/>
          </w:rPr>
          <w:t>Jz 1.1–2.5</w:t>
        </w:r>
      </w:hyperlink>
      <w:r>
        <w:rPr>
          <w:lang w:val="pt_PT" w:bidi="pt_PT"/>
        </w:rPr>
        <w:t>) relembra as falhas das tribos individuais em cumprir o pacto de Deus. Ao se contentarem com a ocupação parcial da terra, demonstraram seu desrespeito pela promessa do Senhor e provocaram a retirada de sua proteção (</w:t>
      </w:r>
      <w:hyperlink r:id="rId22">
        <w:r>
          <w:rPr>
            <w:lang w:val="pt_PT" w:bidi="pt_PT"/>
          </w:rPr>
          <w:rPr>
            <w:color w:val="0000EE"/>
            <w:u w:val="single"/>
          </w:rPr>
          <w:t>2.1–3</w:t>
        </w:r>
      </w:hyperlink>
      <w:r>
        <w:rPr>
          <w:lang w:val="pt_PT" w:bidi="pt_PT"/>
        </w:rPr>
        <w:t>).</w:t>
      </w:r>
    </w:p>
    <w:p>
      <w:pPr/>
      <w:r>
        <w:rPr>
          <w:lang w:val="pt_PT" w:bidi="pt_PT"/>
        </w:rPr>
      </w:r>
      <w:r>
        <w:rPr>
          <w:lang w:val="pt_PT" w:bidi="pt_PT"/>
        </w:rPr>
        <w:t>O segundo prólogo (</w:t>
      </w:r>
      <w:hyperlink r:id="rId14">
        <w:r>
          <w:rPr>
            <w:lang w:val="pt_PT" w:bidi="pt_PT"/>
          </w:rPr>
          <w:rPr>
            <w:color w:val="0000EE"/>
            <w:u w:val="single"/>
          </w:rPr>
          <w:t>2.6–3.6</w:t>
        </w:r>
      </w:hyperlink>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3">
        <w:r>
          <w:rPr>
            <w:lang w:val="pt_PT" w:bidi="pt_PT"/>
          </w:rPr>
          <w:rPr>
            <w:color w:val="0000EE"/>
            <w:u w:val="single"/>
          </w:rPr>
          <w:t>2.10</w:t>
        </w:r>
      </w:hyperlink>
      <w:r>
        <w:rPr>
          <w:lang w:val="pt_PT" w:bidi="pt_PT"/>
        </w:rPr>
        <w:t>). O relato então introduz a característica central do livro, os juízes que Deus levantou para resgatar Israel e chamá-los de volta à obediência à aliança (</w:t>
      </w:r>
      <w:hyperlink r:id="rId24">
        <w:r>
          <w:rPr>
            <w:lang w:val="pt_PT" w:bidi="pt_PT"/>
          </w:rPr>
          <w:rPr>
            <w:color w:val="0000EE"/>
            <w:u w:val="single"/>
          </w:rPr>
          <w:t>2.16</w:t>
        </w:r>
      </w:hyperlink>
      <w:r>
        <w:rPr>
          <w:lang w:val="pt_PT" w:bidi="pt_PT"/>
        </w:rPr>
        <w:t xml:space="preserve">), cuja evidência seria a ocupação fiel da Terra Prometida. </w:t>
      </w:r>
      <w:hyperlink r:id="rId25">
        <w:r>
          <w:rPr>
            <w:lang w:val="pt_PT" w:bidi="pt_PT"/>
          </w:rPr>
          <w:rPr>
            <w:color w:val="0000EE"/>
            <w:u w:val="single"/>
          </w:rPr>
          <w:t>Juizes 3.1–6</w:t>
        </w:r>
      </w:hyperlink>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hyperlink r:id="rId26">
        <w:r>
          <w:rPr>
            <w:lang w:val="pt_PT" w:bidi="pt_PT"/>
          </w:rPr>
          <w:rPr>
            <w:color w:val="0000EE"/>
            <w:u w:val="single"/>
          </w:rPr>
          <w:t>3.7–16.31</w:t>
        </w:r>
      </w:hyperlink>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7">
        <w:r>
          <w:rPr>
            <w:lang w:val="pt_PT" w:bidi="pt_PT"/>
          </w:rPr>
          <w:rPr>
            <w:color w:val="0000EE"/>
            <w:u w:val="single"/>
          </w:rPr>
          <w:t>9</w:t>
        </w:r>
      </w:hyperlink>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hyperlink r:id="rId28">
        <w:r>
          <w:rPr>
            <w:lang w:val="pt_PT" w:bidi="pt_PT"/>
          </w:rPr>
          <w:rPr>
            <w:color w:val="0000EE"/>
            <w:u w:val="single"/>
          </w:rPr>
          <w:t>17–18</w:t>
        </w:r>
      </w:hyperlink>
      <w:r>
        <w:rPr>
          <w:lang w:val="pt_PT" w:bidi="pt_PT"/>
        </w:rPr>
        <w:t xml:space="preserve">; </w:t>
      </w:r>
      <w:hyperlink r:id="rId29">
        <w:r>
          <w:rPr>
            <w:lang w:val="pt_PT" w:bidi="pt_PT"/>
          </w:rPr>
          <w:rPr>
            <w:color w:val="0000EE"/>
            <w:u w:val="single"/>
          </w:rPr>
          <w:t>19–21</w:t>
        </w:r>
      </w:hyperlink>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hyperlink r:id="rId30">
        <w:r>
          <w:rPr>
            <w:lang w:val="pt_PT" w:bidi="pt_PT"/>
          </w:rPr>
          <w:rPr>
            <w:color w:val="0000EE"/>
            <w:u w:val="single"/>
          </w:rPr>
          <w:t>2Rs 25.27–30</w:t>
        </w:r>
      </w:hyperlink>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1">
        <w:r>
          <w:rPr>
            <w:lang w:val="pt_PT" w:bidi="pt_PT"/>
          </w:rPr>
          <w:rPr>
            <w:color w:val="0000EE"/>
            <w:u w:val="single"/>
          </w:rPr>
          <w:t>Jz 11.26</w:t>
        </w:r>
      </w:hyperlink>
      <w:r>
        <w:rPr>
          <w:lang w:val="pt_PT" w:bidi="pt_PT"/>
        </w:rPr>
        <w:t xml:space="preserve"> e </w:t>
      </w:r>
      <w:hyperlink r:id="rId32">
        <w:r>
          <w:rPr>
            <w:lang w:val="pt_PT" w:bidi="pt_PT"/>
          </w:rPr>
          <w:rPr>
            <w:color w:val="0000EE"/>
            <w:u w:val="single"/>
          </w:rPr>
          <w:t>1Rs 6.1</w:t>
        </w:r>
      </w:hyperlink>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hyperlink r:id="rId33">
        <w:r>
          <w:rPr>
            <w:lang w:val="pt_PT" w:bidi="pt_PT"/>
          </w:rPr>
          <w:rPr>
            <w:color w:val="0000EE"/>
            <w:u w:val="single"/>
          </w:rPr>
          <w:t>Jz 10.7</w:t>
        </w:r>
      </w:hyperlink>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hyperlink r:id="rId34">
        <w:r>
          <w:rPr>
            <w:lang w:val="pt_PT" w:bidi="pt_PT"/>
          </w:rPr>
          <w:rPr>
            <w:color w:val="0000EE"/>
            <w:u w:val="single"/>
          </w:rPr>
          <w:t>3.31</w:t>
        </w:r>
      </w:hyperlink>
      <w:r>
        <w:rPr>
          <w:lang w:val="pt_PT" w:bidi="pt_PT"/>
        </w:rPr>
        <w:t>) e Débora “após a morte de Eúde” (</w:t>
      </w:r>
      <w:hyperlink r:id="rId35">
        <w:r>
          <w:rPr>
            <w:lang w:val="pt_PT" w:bidi="pt_PT"/>
          </w:rPr>
          <w:rPr>
            <w:color w:val="0000EE"/>
            <w:u w:val="single"/>
          </w:rPr>
          <w:t>4.1</w:t>
        </w:r>
      </w:hyperlink>
      <w:r>
        <w:rPr>
          <w:lang w:val="pt_PT" w:bidi="pt_PT"/>
        </w:rPr>
        <w:t xml:space="preserve">; veja também </w:t>
      </w:r>
      <w:hyperlink r:id="rId36">
        <w:r>
          <w:rPr>
            <w:lang w:val="pt_PT" w:bidi="pt_PT"/>
          </w:rPr>
          <w:rPr>
            <w:color w:val="0000EE"/>
            <w:u w:val="single"/>
          </w:rPr>
          <w:t>5.6</w:t>
        </w:r>
      </w:hyperlink>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7">
        <w:r>
          <w:rPr>
            <w:lang w:val="pt_PT" w:bidi="pt_PT"/>
          </w:rPr>
          <w:rPr>
            <w:color w:val="0000EE"/>
            <w:u w:val="single"/>
          </w:rPr>
          <w:t>2Sm 7.1–29</w:t>
        </w:r>
      </w:hyperlink>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