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Esdras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hyperlink r:id="rId13">
        <w:r>
          <w:rPr>
            <w:lang w:val="pt_PT" w:bidi="pt_PT"/>
          </w:rPr>
          <w:rPr>
            <w:color w:val="0000EE"/>
            <w:u w:val="single"/>
          </w:rPr>
          <w:t>2Rs 25.1–30</w:t>
        </w:r>
      </w:hyperlink>
      <w:r>
        <w:rPr>
          <w:lang w:val="pt_PT" w:bidi="pt_PT"/>
        </w:rPr>
        <w:t>). Enquanto estavam no exílio na Babilônia, os israelitas puderam construir casas, ter jardins e viver uma vida razoavelmente boa com alguma liberdade religiosa (</w:t>
      </w:r>
      <w:hyperlink r:id="rId14">
        <w:r>
          <w:rPr>
            <w:lang w:val="pt_PT" w:bidi="pt_PT"/>
          </w:rPr>
          <w:rPr>
            <w:color w:val="0000EE"/>
            <w:u w:val="single"/>
          </w:rPr>
          <w:t>Jr 29.4–5</w:t>
        </w:r>
      </w:hyperlink>
      <w:r>
        <w:rPr>
          <w:lang w:val="pt_PT" w:bidi="pt_PT"/>
        </w:rPr>
        <w:t>). Alguns alcançaram posições de poder (</w:t>
      </w:r>
      <w:hyperlink r:id="rId15">
        <w:r>
          <w:rPr>
            <w:lang w:val="pt_PT" w:bidi="pt_PT"/>
          </w:rPr>
          <w:rPr>
            <w:color w:val="0000EE"/>
            <w:u w:val="single"/>
          </w:rPr>
          <w:t>Dn 3</w:t>
        </w:r>
      </w:hyperlink>
      <w:r>
        <w:rPr>
          <w:lang w:val="pt_PT" w:bidi="pt_PT"/>
        </w:rPr>
        <w:t>,</w:t>
      </w:r>
      <w:hyperlink r:id="rId16">
        <w:r>
          <w:rPr>
            <w:lang w:val="pt_PT" w:bidi="pt_PT"/>
          </w:rPr>
          <w:rPr>
            <w:color w:val="0000EE"/>
            <w:u w:val="single"/>
          </w:rPr>
          <w:t>6</w:t>
        </w:r>
      </w:hyperlink>
      <w:r>
        <w:rPr>
          <w:lang w:val="pt_PT" w:bidi="pt_PT"/>
        </w:rPr>
        <w:t>).</w:t>
      </w:r>
    </w:p>
    <w:p>
      <w:pPr/>
      <w:r>
        <w:rPr>
          <w:lang w:val="pt_PT" w:bidi="pt_PT"/>
        </w:rPr>
      </w:r>
      <w:r>
        <w:rPr>
          <w:lang w:val="pt_PT" w:bidi="pt_PT"/>
        </w:rPr>
        <w:t>Deus havia prometido retornar seu povo à terra santa após setenta anos (</w:t>
      </w:r>
      <w:hyperlink r:id="rId17">
        <w:r>
          <w:rPr>
            <w:lang w:val="pt_PT" w:bidi="pt_PT"/>
          </w:rPr>
          <w:rPr>
            <w:color w:val="0000EE"/>
            <w:u w:val="single"/>
          </w:rPr>
          <w:t>2Cr 36.21</w:t>
        </w:r>
      </w:hyperlink>
      <w:r>
        <w:rPr>
          <w:lang w:val="pt_PT" w:bidi="pt_PT"/>
        </w:rPr>
        <w:t xml:space="preserve">; </w:t>
      </w:r>
      <w:hyperlink r:id="rId18">
        <w:r>
          <w:rPr>
            <w:lang w:val="pt_PT" w:bidi="pt_PT"/>
          </w:rPr>
          <w:rPr>
            <w:color w:val="0000EE"/>
            <w:u w:val="single"/>
          </w:rPr>
          <w:t>Jr 25.12</w:t>
        </w:r>
      </w:hyperlink>
      <w:r>
        <w:rPr>
          <w:lang w:val="pt_PT" w:bidi="pt_PT"/>
        </w:rPr>
        <w:t xml:space="preserve">; </w:t>
      </w:r>
      <w:hyperlink r:id="rId19">
        <w:r>
          <w:rPr>
            <w:lang w:val="pt_PT" w:bidi="pt_PT"/>
          </w:rPr>
          <w:rPr>
            <w:color w:val="0000EE"/>
            <w:u w:val="single"/>
          </w:rPr>
          <w:t>29.10</w:t>
        </w:r>
      </w:hyperlink>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0">
        <w:r>
          <w:rPr>
            <w:lang w:val="pt_PT" w:bidi="pt_PT"/>
          </w:rPr>
          <w:rPr>
            <w:color w:val="0000EE"/>
            <w:u w:val="single"/>
          </w:rPr>
          <w:t>Ed 1.1–8</w:t>
        </w:r>
      </w:hyperlink>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1">
        <w:r>
          <w:rPr>
            <w:lang w:val="pt_PT" w:bidi="pt_PT"/>
          </w:rPr>
          <w:rPr>
            <w:color w:val="0000EE"/>
            <w:u w:val="single"/>
          </w:rPr>
          <w:t>4.3</w:t>
        </w:r>
      </w:hyperlink>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hyperlink r:id="rId22">
        <w:r>
          <w:rPr>
            <w:lang w:val="pt_PT" w:bidi="pt_PT"/>
          </w:rPr>
          <w:rPr>
            <w:color w:val="0000EE"/>
            <w:u w:val="single"/>
          </w:rPr>
          <w:t>9.1–2</w:t>
        </w:r>
      </w:hyperlink>
      <w:r>
        <w:rPr>
          <w:lang w:val="pt_PT" w:bidi="pt_PT"/>
        </w:rPr>
        <w:t>). Deus havia expressamente proibido tal casamento porque inevitavelmente levaria à adoção de crenças religiosas pagãs (</w:t>
      </w:r>
      <w:hyperlink r:id="rId23">
        <w:r>
          <w:rPr>
            <w:lang w:val="pt_PT" w:bidi="pt_PT"/>
          </w:rPr>
          <w:rPr>
            <w:color w:val="0000EE"/>
            <w:u w:val="single"/>
          </w:rPr>
          <w:t>Dt 7.3–4</w:t>
        </w:r>
      </w:hyperlink>
      <w:r>
        <w:rPr>
          <w:lang w:val="pt_PT" w:bidi="pt_PT"/>
        </w:rPr>
        <w:t xml:space="preserve">; </w:t>
      </w:r>
      <w:hyperlink r:id="rId24">
        <w:r>
          <w:rPr>
            <w:lang w:val="pt_PT" w:bidi="pt_PT"/>
          </w:rPr>
          <w:rPr>
            <w:color w:val="0000EE"/>
            <w:u w:val="single"/>
          </w:rPr>
          <w:t>Js 23.12–13</w:t>
        </w:r>
      </w:hyperlink>
      <w:r>
        <w:rPr>
          <w:lang w:val="pt_PT" w:bidi="pt_PT"/>
        </w:rPr>
        <w:t>). Este pecado certamente traria o julgamento de Deus se não fosse confessado e corrigido (</w:t>
      </w:r>
      <w:hyperlink r:id="rId25">
        <w:r>
          <w:rPr>
            <w:lang w:val="pt_PT" w:bidi="pt_PT"/>
          </w:rPr>
          <w:rPr>
            <w:color w:val="0000EE"/>
            <w:u w:val="single"/>
          </w:rPr>
          <w:t>9.13–15</w:t>
        </w:r>
      </w:hyperlink>
      <w:r>
        <w:rPr>
          <w:lang w:val="pt_PT" w:bidi="pt_PT"/>
        </w:rPr>
        <w:t xml:space="preserve">; </w:t>
      </w:r>
      <w:hyperlink r:id="rId26">
        <w:r>
          <w:rPr>
            <w:lang w:val="pt_PT" w:bidi="pt_PT"/>
          </w:rPr>
          <w:rPr>
            <w:color w:val="0000EE"/>
            <w:u w:val="single"/>
          </w:rPr>
          <w:t>10.14</w:t>
        </w:r>
      </w:hyperlink>
      <w:r>
        <w:rPr>
          <w:lang w:val="pt_PT" w:bidi="pt_PT"/>
        </w:rPr>
        <w:t>). Esdras liderou o povo a se separar dos pagãos e renovar sua aliança com Deus (</w:t>
      </w:r>
      <w:hyperlink r:id="rId27">
        <w:r>
          <w:rPr>
            <w:lang w:val="pt_PT" w:bidi="pt_PT"/>
          </w:rPr>
          <w:rPr>
            <w:color w:val="0000EE"/>
            <w:u w:val="single"/>
          </w:rPr>
          <w:t>10.1–11</w:t>
        </w:r>
      </w:hyperlink>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hyperlink r:id="rId28">
        <w:r>
          <w:rPr>
            <w:lang w:val="pt_PT" w:bidi="pt_PT"/>
          </w:rPr>
          <w:rPr>
            <w:color w:val="0000EE"/>
            <w:u w:val="single"/>
          </w:rPr>
          <w:t>1.1–4</w:t>
        </w:r>
      </w:hyperlink>
      <w:r>
        <w:rPr>
          <w:lang w:val="pt_PT" w:bidi="pt_PT"/>
        </w:rPr>
        <w:t>), um grupo de cerca de 50.000 retornados partiu para Jerusalém, onde restabeleceram a comunidade judaica, construíram um novo altar (</w:t>
      </w:r>
      <w:hyperlink r:id="rId29">
        <w:r>
          <w:rPr>
            <w:lang w:val="pt_PT" w:bidi="pt_PT"/>
          </w:rPr>
          <w:rPr>
            <w:color w:val="0000EE"/>
            <w:u w:val="single"/>
          </w:rPr>
          <w:t>1.5–3.6</w:t>
        </w:r>
      </w:hyperlink>
      <w:r>
        <w:rPr>
          <w:lang w:val="pt_PT" w:bidi="pt_PT"/>
        </w:rPr>
        <w:t>) e começaram a reconstruir o Templo (</w:t>
      </w:r>
      <w:hyperlink r:id="rId30">
        <w:r>
          <w:rPr>
            <w:lang w:val="pt_PT" w:bidi="pt_PT"/>
          </w:rPr>
          <w:rPr>
            <w:color w:val="0000EE"/>
            <w:u w:val="single"/>
          </w:rPr>
          <w:t>3.7–13</w:t>
        </w:r>
      </w:hyperlink>
      <w:r>
        <w:rPr>
          <w:lang w:val="pt_PT" w:bidi="pt_PT"/>
        </w:rPr>
        <w:t>). Esses judeus se recusaram a comprometer suas crenças unindo-se aos descrentes locais. A oposição local logo interrompeu todo o progresso em seus esforços de reconstrução (</w:t>
      </w:r>
      <w:hyperlink r:id="rId31">
        <w:r>
          <w:rPr>
            <w:lang w:val="pt_PT" w:bidi="pt_PT"/>
          </w:rPr>
          <w:rPr>
            <w:color w:val="0000EE"/>
            <w:u w:val="single"/>
          </w:rPr>
          <w:t>4.1–5</w:t>
        </w:r>
      </w:hyperlink>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hyperlink r:id="rId32">
        <w:r>
          <w:rPr>
            <w:lang w:val="pt_PT" w:bidi="pt_PT"/>
          </w:rPr>
          <w:rPr>
            <w:color w:val="0000EE"/>
            <w:u w:val="single"/>
          </w:rPr>
          <w:t>5.1–6.12</w:t>
        </w:r>
      </w:hyperlink>
      <w:r>
        <w:rPr>
          <w:lang w:val="pt_PT" w:bidi="pt_PT"/>
        </w:rPr>
        <w:t xml:space="preserve">). Os judeus responderam, e com o apoio da Pérsia, o Templo foi concluído em 515 a.C. sem mais interferências (veja também </w:t>
      </w:r>
      <w:hyperlink r:id="rId33">
        <w:r>
          <w:rPr>
            <w:lang w:val="pt_PT" w:bidi="pt_PT"/>
          </w:rPr>
          <w:rPr>
            <w:color w:val="0000EE"/>
            <w:u w:val="single"/>
          </w:rPr>
          <w:t>Ag 1.2–6</w:t>
        </w:r>
      </w:hyperlink>
      <w:r>
        <w:rPr>
          <w:lang w:val="pt_PT" w:bidi="pt_PT"/>
        </w:rPr>
        <w:t xml:space="preserve">; </w:t>
      </w:r>
      <w:hyperlink r:id="rId34">
        <w:r>
          <w:rPr>
            <w:lang w:val="pt_PT" w:bidi="pt_PT"/>
          </w:rPr>
          <w:rPr>
            <w:color w:val="0000EE"/>
            <w:u w:val="single"/>
          </w:rPr>
          <w:t>Zc 4.9</w:t>
        </w:r>
      </w:hyperlink>
      <w:r>
        <w:rPr>
          <w:lang w:val="pt_PT" w:bidi="pt_PT"/>
        </w:rPr>
        <w:t xml:space="preserve">; </w:t>
      </w:r>
      <w:hyperlink r:id="rId35">
        <w:r>
          <w:rPr>
            <w:lang w:val="pt_PT" w:bidi="pt_PT"/>
          </w:rPr>
          <w:rPr>
            <w:color w:val="0000EE"/>
            <w:u w:val="single"/>
          </w:rPr>
          <w:t>6.12–15</w:t>
        </w:r>
      </w:hyperlink>
      <w:r>
        <w:rPr>
          <w:lang w:val="pt_PT" w:bidi="pt_PT"/>
        </w:rPr>
        <w:t xml:space="preserve">; </w:t>
      </w:r>
      <w:hyperlink r:id="rId36">
        <w:r>
          <w:rPr>
            <w:lang w:val="pt_PT" w:bidi="pt_PT"/>
          </w:rPr>
          <w:rPr>
            <w:color w:val="0000EE"/>
            <w:u w:val="single"/>
          </w:rPr>
          <w:t>8.9</w:t>
        </w:r>
      </w:hyperlink>
      <w:r>
        <w:rPr>
          <w:lang w:val="pt_PT" w:bidi="pt_PT"/>
        </w:rPr>
        <w:t>).</w:t>
      </w:r>
    </w:p>
    <w:p>
      <w:pPr/>
      <w:r>
        <w:rPr>
          <w:lang w:val="pt_PT" w:bidi="pt_PT"/>
        </w:rPr>
      </w:r>
      <w:r>
        <w:rPr>
          <w:lang w:val="pt_PT" w:bidi="pt_PT"/>
        </w:rPr>
        <w:t>486–445 a.C. Os judeus mais tarde enfrentaram oposição durante sua tentativa inicial de reconstruir a cidade e suas muralhas (</w:t>
      </w:r>
      <w:hyperlink r:id="rId37">
        <w:r>
          <w:rPr>
            <w:lang w:val="pt_PT" w:bidi="pt_PT"/>
          </w:rPr>
          <w:rPr>
            <w:color w:val="0000EE"/>
            <w:u w:val="single"/>
          </w:rPr>
          <w:t>Ed 4.6–23</w:t>
        </w:r>
      </w:hyperlink>
      <w:r>
        <w:rPr>
          <w:lang w:val="pt_PT" w:bidi="pt_PT"/>
        </w:rPr>
        <w:t>).</w:t>
      </w:r>
    </w:p>
    <w:p>
      <w:pPr/>
      <w:r>
        <w:rPr>
          <w:lang w:val="pt_PT" w:bidi="pt_PT"/>
        </w:rPr>
      </w:r>
      <w:r>
        <w:rPr>
          <w:lang w:val="pt_PT" w:bidi="pt_PT"/>
        </w:rPr>
        <w:t>458 a.C. Esdras viajou para Jerusalém para administrar os assuntos do governo (</w:t>
      </w:r>
      <w:hyperlink r:id="rId38">
        <w:r>
          <w:rPr>
            <w:lang w:val="pt_PT" w:bidi="pt_PT"/>
          </w:rPr>
          <w:rPr>
            <w:color w:val="0000EE"/>
            <w:u w:val="single"/>
          </w:rPr>
          <w:t>7.1–26</w:t>
        </w:r>
      </w:hyperlink>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39">
        <w:r>
          <w:rPr>
            <w:lang w:val="pt_PT" w:bidi="pt_PT"/>
          </w:rPr>
          <w:rPr>
            <w:color w:val="0000EE"/>
            <w:u w:val="single"/>
          </w:rPr>
          <w:t>9.1–10.44</w:t>
        </w:r>
      </w:hyperlink>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hyperlink r:id="rId40">
        <w:r>
          <w:rPr>
            <w:lang w:val="pt_PT" w:bidi="pt_PT"/>
          </w:rPr>
          <w:rPr>
            <w:color w:val="0000EE"/>
            <w:u w:val="single"/>
          </w:rPr>
          <w:t>Ne 1–7</w:t>
        </w:r>
      </w:hyperlink>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hyperlink r:id="rId41">
        <w:r>
          <w:rPr>
            <w:lang w:val="pt_PT" w:bidi="pt_PT"/>
          </w:rPr>
          <w:rPr>
            <w:color w:val="0000EE"/>
            <w:u w:val="single"/>
          </w:rPr>
          <w:t>2Cr 36.22–23</w:t>
        </w:r>
      </w:hyperlink>
      <w:r>
        <w:rPr>
          <w:lang w:val="pt_PT" w:bidi="pt_PT"/>
        </w:rPr>
        <w:t>) são muito semelhantes aos primeiros versículos em Esdras (</w:t>
      </w:r>
      <w:hyperlink r:id="rId42">
        <w:r>
          <w:rPr>
            <w:lang w:val="pt_PT" w:bidi="pt_PT"/>
          </w:rPr>
          <w:rPr>
            <w:color w:val="0000EE"/>
            <w:u w:val="single"/>
          </w:rPr>
          <w:t>Ed 1.1–3</w:t>
        </w:r>
      </w:hyperlink>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hyperlink r:id="rId43">
        <w:r>
          <w:rPr>
            <w:lang w:val="pt_PT" w:bidi="pt_PT"/>
          </w:rPr>
          <w:rPr>
            <w:color w:val="0000EE"/>
            <w:u w:val="single"/>
          </w:rPr>
          <w:t>4.8–6.18</w:t>
        </w:r>
      </w:hyperlink>
      <w:r>
        <w:rPr>
          <w:lang w:val="pt_PT" w:bidi="pt_PT"/>
        </w:rPr>
        <w:t xml:space="preserve"> e </w:t>
      </w:r>
      <w:hyperlink r:id="rId44">
        <w:r>
          <w:rPr>
            <w:lang w:val="pt_PT" w:bidi="pt_PT"/>
          </w:rPr>
          <w:rPr>
            <w:color w:val="0000EE"/>
            <w:u w:val="single"/>
          </w:rPr>
          <w:t>7.12–26</w:t>
        </w:r>
      </w:hyperlink>
      <w:r>
        <w:rPr>
          <w:lang w:val="pt_PT" w:bidi="pt_PT"/>
        </w:rPr>
        <w:t>), a língua comum do império persa. Os seis documentos oficiais nessas seções são: a carta de Reum ao Rei Artaxerxes (</w:t>
      </w:r>
      <w:hyperlink r:id="rId45">
        <w:r>
          <w:rPr>
            <w:lang w:val="pt_PT" w:bidi="pt_PT"/>
          </w:rPr>
          <w:rPr>
            <w:color w:val="0000EE"/>
            <w:u w:val="single"/>
          </w:rPr>
          <w:t>4.8–16</w:t>
        </w:r>
      </w:hyperlink>
      <w:r>
        <w:rPr>
          <w:lang w:val="pt_PT" w:bidi="pt_PT"/>
        </w:rPr>
        <w:t>), a carta de Artaxerxes para Reum (</w:t>
      </w:r>
      <w:hyperlink r:id="rId46">
        <w:r>
          <w:rPr>
            <w:lang w:val="pt_PT" w:bidi="pt_PT"/>
          </w:rPr>
          <w:rPr>
            <w:color w:val="0000EE"/>
            <w:u w:val="single"/>
          </w:rPr>
          <w:t>4.17–22</w:t>
        </w:r>
      </w:hyperlink>
      <w:r>
        <w:rPr>
          <w:lang w:val="pt_PT" w:bidi="pt_PT"/>
        </w:rPr>
        <w:t>), a carta de Tatenai ao Rei Dario (</w:t>
      </w:r>
      <w:hyperlink r:id="rId47">
        <w:r>
          <w:rPr>
            <w:lang w:val="pt_PT" w:bidi="pt_PT"/>
          </w:rPr>
          <w:rPr>
            <w:color w:val="0000EE"/>
            <w:u w:val="single"/>
          </w:rPr>
          <w:t>5.6–17</w:t>
        </w:r>
      </w:hyperlink>
      <w:r>
        <w:rPr>
          <w:lang w:val="pt_PT" w:bidi="pt_PT"/>
        </w:rPr>
        <w:t>), o decreto de Ciro para construir o Templo em Jerusalém (</w:t>
      </w:r>
      <w:hyperlink r:id="rId48">
        <w:r>
          <w:rPr>
            <w:lang w:val="pt_PT" w:bidi="pt_PT"/>
          </w:rPr>
          <w:rPr>
            <w:color w:val="0000EE"/>
            <w:u w:val="single"/>
          </w:rPr>
          <w:t>6.3–5</w:t>
        </w:r>
      </w:hyperlink>
      <w:r>
        <w:rPr>
          <w:lang w:val="pt_PT" w:bidi="pt_PT"/>
        </w:rPr>
        <w:t>), a carta de Dario para Tatenai (</w:t>
      </w:r>
      <w:hyperlink r:id="rId49">
        <w:r>
          <w:rPr>
            <w:lang w:val="pt_PT" w:bidi="pt_PT"/>
          </w:rPr>
          <w:rPr>
            <w:color w:val="0000EE"/>
            <w:u w:val="single"/>
          </w:rPr>
          <w:t>6.6–12</w:t>
        </w:r>
      </w:hyperlink>
      <w:r>
        <w:rPr>
          <w:lang w:val="pt_PT" w:bidi="pt_PT"/>
        </w:rPr>
        <w:t>), e a carta de Artaxerxes para Esdras (</w:t>
      </w:r>
      <w:hyperlink r:id="rId44">
        <w:r>
          <w:rPr>
            <w:lang w:val="pt_PT" w:bidi="pt_PT"/>
          </w:rPr>
          <w:rPr>
            <w:color w:val="0000EE"/>
            <w:u w:val="single"/>
          </w:rPr>
          <w:t>7.12–26</w:t>
        </w:r>
      </w:hyperlink>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hyperlink r:id="rId50">
        <w:r>
          <w:rPr>
            <w:lang w:val="pt_PT" w:bidi="pt_PT"/>
          </w:rPr>
          <w:rPr>
            <w:color w:val="0000EE"/>
            <w:u w:val="single"/>
          </w:rPr>
          <w:t>1.2–4</w:t>
        </w:r>
      </w:hyperlink>
      <w:r>
        <w:rPr>
          <w:lang w:val="pt_PT" w:bidi="pt_PT"/>
        </w:rPr>
        <w:t>); uma lista de utensílios do Templo (</w:t>
      </w:r>
      <w:hyperlink r:id="rId51">
        <w:r>
          <w:rPr>
            <w:lang w:val="pt_PT" w:bidi="pt_PT"/>
          </w:rPr>
          <w:rPr>
            <w:color w:val="0000EE"/>
            <w:u w:val="single"/>
          </w:rPr>
          <w:t>1.9–11</w:t>
        </w:r>
      </w:hyperlink>
      <w:r>
        <w:rPr>
          <w:lang w:val="pt_PT" w:bidi="pt_PT"/>
        </w:rPr>
        <w:t>); uma lista dos israelitas que primeiro retornaram a Jerusalém (</w:t>
      </w:r>
      <w:hyperlink r:id="rId52">
        <w:r>
          <w:rPr>
            <w:lang w:val="pt_PT" w:bidi="pt_PT"/>
          </w:rPr>
          <w:rPr>
            <w:color w:val="0000EE"/>
            <w:u w:val="single"/>
          </w:rPr>
          <w:t>2.1–69</w:t>
        </w:r>
      </w:hyperlink>
      <w:r>
        <w:rPr>
          <w:lang w:val="pt_PT" w:bidi="pt_PT"/>
        </w:rPr>
        <w:t>); uma lista daqueles que retornaram com Esdras (</w:t>
      </w:r>
      <w:hyperlink r:id="rId53">
        <w:r>
          <w:rPr>
            <w:lang w:val="pt_PT" w:bidi="pt_PT"/>
          </w:rPr>
          <w:rPr>
            <w:color w:val="0000EE"/>
            <w:u w:val="single"/>
          </w:rPr>
          <w:t>8.1–14</w:t>
        </w:r>
      </w:hyperlink>
      <w:r>
        <w:rPr>
          <w:lang w:val="pt_PT" w:bidi="pt_PT"/>
        </w:rPr>
        <w:t>); uma lista de tesouros que Esdras trouxe para Jerusalém com ele (</w:t>
      </w:r>
      <w:hyperlink r:id="rId54">
        <w:r>
          <w:rPr>
            <w:lang w:val="pt_PT" w:bidi="pt_PT"/>
          </w:rPr>
          <w:rPr>
            <w:color w:val="0000EE"/>
            <w:u w:val="single"/>
          </w:rPr>
          <w:t>8.26–27</w:t>
        </w:r>
      </w:hyperlink>
      <w:r>
        <w:rPr>
          <w:lang w:val="pt_PT" w:bidi="pt_PT"/>
        </w:rPr>
        <w:t>); e uma lista dos homens que se divorciaram de esposas pagãs (</w:t>
      </w:r>
      <w:hyperlink r:id="rId55">
        <w:r>
          <w:rPr>
            <w:lang w:val="pt_PT" w:bidi="pt_PT"/>
          </w:rPr>
          <w:rPr>
            <w:color w:val="0000EE"/>
            <w:u w:val="single"/>
          </w:rPr>
          <w:t>10.18–44</w:t>
        </w:r>
      </w:hyperlink>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hyperlink r:id="rId28">
        <w:r>
          <w:rPr>
            <w:lang w:val="pt_PT" w:bidi="pt_PT"/>
          </w:rPr>
          <w:rPr>
            <w:color w:val="0000EE"/>
            <w:u w:val="single"/>
          </w:rPr>
          <w:t>Ed 1.1–4</w:t>
        </w:r>
      </w:hyperlink>
      <w:r>
        <w:rPr>
          <w:lang w:val="pt_PT" w:bidi="pt_PT"/>
        </w:rPr>
        <w:t>). Deus também prometeu que tesouros de outras nações fluiriam para Jerusalém para reconstruir o Templo (</w:t>
      </w:r>
      <w:hyperlink r:id="rId56">
        <w:r>
          <w:rPr>
            <w:lang w:val="pt_PT" w:bidi="pt_PT"/>
          </w:rPr>
          <w:rPr>
            <w:color w:val="0000EE"/>
            <w:u w:val="single"/>
          </w:rPr>
          <w:t>Ag 2.7–8</w:t>
        </w:r>
      </w:hyperlink>
      <w:r>
        <w:rPr>
          <w:lang w:val="pt_PT" w:bidi="pt_PT"/>
        </w:rPr>
        <w:t>); isso aconteceu (</w:t>
      </w:r>
      <w:hyperlink r:id="rId49">
        <w:r>
          <w:rPr>
            <w:lang w:val="pt_PT" w:bidi="pt_PT"/>
          </w:rPr>
          <w:rPr>
            <w:color w:val="0000EE"/>
            <w:u w:val="single"/>
          </w:rPr>
          <w:t>Ed 6.6–12</w:t>
        </w:r>
      </w:hyperlink>
      <w:r>
        <w:rPr>
          <w:lang w:val="pt_PT" w:bidi="pt_PT"/>
        </w:rPr>
        <w:t>) porque Deus mudou o coração de Dario (</w:t>
      </w:r>
      <w:hyperlink r:id="rId57">
        <w:r>
          <w:rPr>
            <w:lang w:val="pt_PT" w:bidi="pt_PT"/>
          </w:rPr>
          <w:rPr>
            <w:color w:val="0000EE"/>
            <w:u w:val="single"/>
          </w:rPr>
          <w:t>6.22</w:t>
        </w:r>
      </w:hyperlink>
      <w:r>
        <w:rPr>
          <w:lang w:val="pt_PT" w:bidi="pt_PT"/>
        </w:rPr>
        <w:t>). Mais tarde, quando Esdras veio a Jerusalém, Deus moveu Artaxerxes a dar a Esdras tudo o que ele precisava (</w:t>
      </w:r>
      <w:hyperlink r:id="rId58">
        <w:r>
          <w:rPr>
            <w:lang w:val="pt_PT" w:bidi="pt_PT"/>
          </w:rPr>
          <w:rPr>
            <w:color w:val="0000EE"/>
            <w:u w:val="single"/>
          </w:rPr>
          <w:t>7.6</w:t>
        </w:r>
      </w:hyperlink>
      <w:r>
        <w:rPr>
          <w:lang w:val="pt_PT" w:bidi="pt_PT"/>
        </w:rPr>
        <w:t>). E foi Deus quem protegeu os judeus de ataques enquanto viajavam para Jerusalém (</w:t>
      </w:r>
      <w:hyperlink r:id="rId59">
        <w:r>
          <w:rPr>
            <w:lang w:val="pt_PT" w:bidi="pt_PT"/>
          </w:rPr>
          <w:rPr>
            <w:color w:val="0000EE"/>
            <w:u w:val="single"/>
          </w:rPr>
          <w:t>8.22</w:t>
        </w:r>
      </w:hyperlink>
      <w:r>
        <w:rPr>
          <w:lang w:val="pt_PT" w:bidi="pt_PT"/>
        </w:rPr>
        <w:t>,</w:t>
      </w:r>
      <w:hyperlink r:id="rId60">
        <w:r>
          <w:rPr>
            <w:lang w:val="pt_PT" w:bidi="pt_PT"/>
          </w:rPr>
          <w:rPr>
            <w:color w:val="0000EE"/>
            <w:u w:val="single"/>
          </w:rPr>
          <w:t>31</w:t>
        </w:r>
      </w:hyperlink>
      <w:r>
        <w:rPr>
          <w:lang w:val="pt_PT" w:bidi="pt_PT"/>
        </w:rPr>
        <w:t>). Esdras reconheceu que o futuro da nação estava nas mãos de Deus (</w:t>
      </w:r>
      <w:hyperlink r:id="rId61">
        <w:r>
          <w:rPr>
            <w:lang w:val="pt_PT" w:bidi="pt_PT"/>
          </w:rPr>
          <w:rPr>
            <w:color w:val="0000EE"/>
            <w:u w:val="single"/>
          </w:rPr>
          <w:t>9.6–15</w:t>
        </w:r>
      </w:hyperlink>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hyperlink r:id="rId62">
        <w:r>
          <w:rPr>
            <w:lang w:val="pt_PT" w:bidi="pt_PT"/>
          </w:rPr>
          <w:rPr>
            <w:color w:val="0000EE"/>
            <w:u w:val="single"/>
          </w:rPr>
          <w:t>7.1–5</w:t>
        </w:r>
      </w:hyperlink>
      <w:r>
        <w:rPr>
          <w:lang w:val="pt_PT" w:bidi="pt_PT"/>
        </w:rPr>
        <w:t>), era firme em sua convicção sobre a separação. Assim eram os primeiros que retornaram e se recusaram a cooperar com os povos pagãos locais (</w:t>
      </w:r>
      <w:hyperlink r:id="rId31">
        <w:r>
          <w:rPr>
            <w:lang w:val="pt_PT" w:bidi="pt_PT"/>
          </w:rPr>
          <w:rPr>
            <w:color w:val="0000EE"/>
            <w:u w:val="single"/>
          </w:rPr>
          <w:t>4.1–5</w:t>
        </w:r>
      </w:hyperlink>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2">
        <w:r>
          <w:rPr>
            <w:lang w:val="pt_PT" w:bidi="pt_PT"/>
          </w:rPr>
          <w:rPr>
            <w:color w:val="0000EE"/>
            <w:u w:val="single"/>
          </w:rPr>
          <w:t>9.1–2</w:t>
        </w:r>
      </w:hyperlink>
      <w:r>
        <w:rPr>
          <w:lang w:val="pt_PT" w:bidi="pt_PT"/>
        </w:rPr>
        <w:t>). Esdras reconheceu a crise (</w:t>
      </w:r>
      <w:hyperlink r:id="rId63">
        <w:r>
          <w:rPr>
            <w:lang w:val="pt_PT" w:bidi="pt_PT"/>
          </w:rPr>
          <w:rPr>
            <w:color w:val="0000EE"/>
            <w:u w:val="single"/>
          </w:rPr>
          <w:t>9.3–15</w:t>
        </w:r>
      </w:hyperlink>
      <w:r>
        <w:rPr>
          <w:lang w:val="pt_PT" w:bidi="pt_PT"/>
        </w:rPr>
        <w:t>) e liderou o povo a renovar sua aliança com Deus e a se separar dos pagãos (</w:t>
      </w:r>
      <w:hyperlink r:id="rId27">
        <w:r>
          <w:rPr>
            <w:lang w:val="pt_PT" w:bidi="pt_PT"/>
          </w:rPr>
          <w:rPr>
            <w:color w:val="0000EE"/>
            <w:u w:val="single"/>
          </w:rPr>
          <w:t>10.1–11</w:t>
        </w:r>
      </w:hyperlink>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hyperlink r:id="rId64">
        <w:r>
          <w:rPr>
            <w:lang w:val="pt_PT" w:bidi="pt_PT"/>
          </w:rPr>
          <w:rPr>
            <w:color w:val="0000EE"/>
            <w:u w:val="single"/>
          </w:rPr>
          <w:t>7.10</w:t>
        </w:r>
      </w:hyperlink>
      <w:r>
        <w:rPr>
          <w:lang w:val="pt_PT" w:bidi="pt_PT"/>
        </w:rPr>
        <w:t>). Esdras repetidamente explicava suas decisões apontando para as instruções de Deus nas Escrituras. O rei da Pérsia havia instruído Esdras a ensinar e aplicar as leis mosaicas (</w:t>
      </w:r>
      <w:hyperlink r:id="rId65">
        <w:r>
          <w:rPr>
            <w:lang w:val="pt_PT" w:bidi="pt_PT"/>
          </w:rPr>
          <w:rPr>
            <w:color w:val="0000EE"/>
            <w:u w:val="single"/>
          </w:rPr>
          <w:t>7.14</w:t>
        </w:r>
      </w:hyperlink>
      <w:r>
        <w:rPr>
          <w:lang w:val="pt_PT" w:bidi="pt_PT"/>
        </w:rPr>
        <w:t>,</w:t>
      </w:r>
      <w:hyperlink r:id="rId66">
        <w:r>
          <w:rPr>
            <w:lang w:val="pt_PT" w:bidi="pt_PT"/>
          </w:rPr>
          <w:rPr>
            <w:color w:val="0000EE"/>
            <w:u w:val="single"/>
          </w:rPr>
          <w:t>23–25</w:t>
        </w:r>
      </w:hyperlink>
      <w:r>
        <w:rPr>
          <w:lang w:val="pt_PT" w:bidi="pt_PT"/>
        </w:rPr>
        <w:t xml:space="preserve">), e foi exatamente isso que Esdras fez (e.g. </w:t>
      </w:r>
      <w:hyperlink r:id="rId67">
        <w:r>
          <w:rPr>
            <w:lang w:val="pt_PT" w:bidi="pt_PT"/>
          </w:rPr>
          <w:rPr>
            <w:color w:val="0000EE"/>
            <w:u w:val="single"/>
          </w:rPr>
          <w:t>8.35</w:t>
        </w:r>
      </w:hyperlink>
      <w:r>
        <w:rPr>
          <w:lang w:val="pt_PT" w:bidi="pt_PT"/>
        </w:rPr>
        <w:t xml:space="preserve">; </w:t>
      </w:r>
      <w:hyperlink r:id="rId68">
        <w:r>
          <w:rPr>
            <w:lang w:val="pt_PT" w:bidi="pt_PT"/>
          </w:rPr>
          <w:rPr>
            <w:color w:val="0000EE"/>
            <w:u w:val="single"/>
          </w:rPr>
          <w:t>9.1–10.17</w:t>
        </w:r>
      </w:hyperlink>
      <w:r>
        <w:rPr>
          <w:lang w:val="pt_PT" w:bidi="pt_PT"/>
        </w:rPr>
        <w:t>).</w:t>
      </w:r>
    </w:p>
    <w:p>
      <w:pPr/>
      <w:r>
        <w:rPr>
          <w:lang w:val="pt_PT" w:bidi="pt_PT"/>
        </w:rPr>
      </w:r>
      <w:r>
        <w:rPr>
          <w:lang w:val="pt_PT" w:bidi="pt_PT"/>
        </w:rPr>
        <w:t>4. A oração intercessória convida à compaixão e ao poder de Deus. A oração de confissão de Esdras (</w:t>
      </w:r>
      <w:hyperlink r:id="rId61">
        <w:r>
          <w:rPr>
            <w:lang w:val="pt_PT" w:bidi="pt_PT"/>
          </w:rPr>
          <w:rPr>
            <w:color w:val="0000EE"/>
            <w:u w:val="single"/>
          </w:rPr>
          <w:t>9.6–15</w:t>
        </w:r>
      </w:hyperlink>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69">
        <w:r>
          <w:rPr>
            <w:lang w:val="pt_PT" w:bidi="pt_PT"/>
          </w:rPr>
          <w:rPr>
            <w:color w:val="0000EE"/>
            <w:u w:val="single"/>
          </w:rPr>
          <w:t>9.6–10.17</w:t>
        </w:r>
      </w:hyperlink>
      <w:r>
        <w:rPr>
          <w:lang w:val="pt_PT" w:bidi="pt_PT"/>
        </w:rPr>
        <w:t>). Da mesma forma, Esdras havia jejuado e orado anteriormente por segurança em sua jornada para Jerusalém, reconhecendo que somente Deus poderia protegê-los de ataques (</w:t>
      </w:r>
      <w:hyperlink r:id="rId70">
        <w:r>
          <w:rPr>
            <w:lang w:val="pt_PT" w:bidi="pt_PT"/>
          </w:rPr>
          <w:rPr>
            <w:color w:val="0000EE"/>
            <w:u w:val="single"/>
          </w:rPr>
          <w:t>8.21–23</w:t>
        </w:r>
      </w:hyperlink>
      <w:r>
        <w:rPr>
          <w:lang w:val="pt_PT" w:bidi="pt_PT"/>
        </w:rPr>
        <w:t>,</w:t>
      </w:r>
      <w:hyperlink r:id="rId71">
        <w:r>
          <w:rPr>
            <w:lang w:val="pt_PT" w:bidi="pt_PT"/>
          </w:rPr>
          <w:rPr>
            <w:color w:val="0000EE"/>
            <w:u w:val="single"/>
          </w:rPr>
          <w:t>31–32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