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w:t>
      </w:r>
      <w:r>
        <w:rPr>
          <w:lang w:val="pt_PT" w:bidi="pt_PT"/>
        </w:rPr>
      </w:r>
    </w:p>
    <w:p>
      <w:pPr/>
      <w:r>
        <w:rPr>
          <w:lang w:val="pt_PT" w:bidi="pt_PT"/>
        </w:rPr>
      </w:r>
      <w:r>
        <w:rPr>
          <w:lang w:val="pt_PT" w:bidi="pt_PT"/>
        </w:rP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2"/>
      </w:pPr>
      <w:r>
        <w:rPr>
          <w:lang w:val="pt_PT" w:bidi="pt_PT"/>
        </w:rPr>
        <w:t>Contexto</w:t>
      </w:r>
    </w:p>
    <w:p>
      <w:pPr/>
      <w:r>
        <w:rPr>
          <w:lang w:val="pt_PT" w:bidi="pt_PT"/>
        </w:rPr>
      </w:r>
      <w:r>
        <w:rPr>
          <w:lang w:val="pt_PT" w:bidi="pt_PT"/>
        </w:rPr>
        <w:t>A cidade de Colossos estava localizada a cerca de 193 quilômetros (120 milhas) a leste de Éfeso, na província da Ásia (atualmente na Turquia).</w:t>
      </w:r>
    </w:p>
    <w:p>
      <w:pPr/>
      <w:r>
        <w:rPr>
          <w:lang w:val="pt_PT" w:bidi="pt_PT"/>
        </w:rPr>
      </w:r>
      <w:r>
        <w:rPr>
          <w:lang w:val="pt_PT" w:bidi="pt_PT"/>
        </w:rPr>
        <w:t>Paulo menciona Epafras como aquele que primeiro trouxe as boas-novas aos Colossenses (</w:t>
      </w:r>
      <w:hyperlink r:id="rId13">
        <w:r>
          <w:rPr>
            <w:lang w:val="pt_PT" w:bidi="pt_PT"/>
          </w:rPr>
          <w:rPr>
            <w:color w:val="0000EE"/>
            <w:u w:val="single"/>
          </w:rPr>
          <w:t>1.7</w:t>
        </w:r>
      </w:hyperlink>
      <w:r>
        <w:rPr>
          <w:lang w:val="pt_PT" w:bidi="pt_PT"/>
        </w:rP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hyperlink r:id="rId14">
        <w:r>
          <w:rPr>
            <w:lang w:val="pt_PT" w:bidi="pt_PT"/>
          </w:rPr>
          <w:rPr>
            <w:color w:val="0000EE"/>
            <w:u w:val="single"/>
          </w:rPr>
          <w:t>At 19.10</w:t>
        </w:r>
      </w:hyperlink>
      <w:r>
        <w:rPr>
          <w:lang w:val="pt_PT" w:bidi="pt_PT"/>
        </w:rPr>
        <w:t>). Embora Paulo não tivesse visitado Colossos (</w:t>
      </w:r>
      <w:hyperlink r:id="rId15">
        <w:r>
          <w:rPr>
            <w:lang w:val="pt_PT" w:bidi="pt_PT"/>
          </w:rPr>
          <w:rPr>
            <w:color w:val="0000EE"/>
            <w:u w:val="single"/>
          </w:rPr>
          <w:t>Cl 2.1</w:t>
        </w:r>
      </w:hyperlink>
      <w:r>
        <w:rPr>
          <w:lang w:val="pt_PT" w:bidi="pt_PT"/>
        </w:rPr>
        <w:t>), ele era o “pai” espiritual de Epafras e, assim, o “avô” espiritual da igreja deles. Portanto, ele escreveu com autoridade apostólica e cuidado pessoal.</w:t>
      </w:r>
    </w:p>
    <w:p>
      <w:pPr/>
      <w:r>
        <w:rPr>
          <w:lang w:val="pt_PT" w:bidi="pt_PT"/>
        </w:rPr>
      </w:r>
      <w:r>
        <w:rPr>
          <w:lang w:val="pt_PT" w:bidi="pt_PT"/>
        </w:rPr>
        <w:t>Quando Colossenses foi escrito, Epafras estava visitando Paulo na prisão (</w:t>
      </w:r>
      <w:hyperlink r:id="rId16">
        <w:r>
          <w:rPr>
            <w:lang w:val="pt_PT" w:bidi="pt_PT"/>
          </w:rPr>
          <w:rPr>
            <w:color w:val="0000EE"/>
            <w:u w:val="single"/>
          </w:rPr>
          <w:t>4.12</w:t>
        </w:r>
      </w:hyperlink>
      <w:r>
        <w:rPr>
          <w:lang w:val="pt_PT" w:bidi="pt_PT"/>
        </w:rPr>
        <w:t>). Ele havia contado a Paulo sobre algumas das dificuldades que a jovem igreja estava enfrentando. Estava especialmente preocupado com alguns falsos mestres em Colossos que estavam enfatizando a importância dos “governantes e autoridades espirituais” (</w:t>
      </w:r>
      <w:hyperlink r:id="rId17">
        <w:r>
          <w:rPr>
            <w:lang w:val="pt_PT" w:bidi="pt_PT"/>
          </w:rPr>
          <w:rPr>
            <w:color w:val="0000EE"/>
            <w:u w:val="single"/>
          </w:rPr>
          <w:t>2.15</w:t>
        </w:r>
      </w:hyperlink>
      <w:r>
        <w:rPr>
          <w:lang w:val="pt_PT" w:bidi="pt_PT"/>
        </w:rPr>
        <w:t>) e dos “poderes espirituais deste mundo” (</w:t>
      </w:r>
      <w:hyperlink r:id="rId18">
        <w:r>
          <w:rPr>
            <w:lang w:val="pt_PT" w:bidi="pt_PT"/>
          </w:rPr>
          <w:rPr>
            <w:color w:val="0000EE"/>
            <w:u w:val="single"/>
          </w:rPr>
          <w:t>2.8,</w:t>
        </w:r>
      </w:hyperlink>
      <w:hyperlink r:id="rId19">
        <w:r>
          <w:rPr>
            <w:lang w:val="pt_PT" w:bidi="pt_PT"/>
          </w:rPr>
          <w:rPr>
            <w:color w:val="0000EE"/>
            <w:u w:val="single"/>
          </w:rPr>
          <w:t>20</w:t>
        </w:r>
      </w:hyperlink>
      <w:r>
        <w:rPr>
          <w:lang w:val="pt_PT" w:bidi="pt_PT"/>
        </w:rPr>
        <w:t>), desviando assim a preeminência de Cristo. Paulo escreveu para abordar essas questões.</w:t>
      </w:r>
    </w:p>
    <w:p>
      <w:pPr>
        <w:pStyle w:val="Heading2"/>
      </w:pPr>
      <w:r>
        <w:rPr>
          <w:lang w:val="pt_PT" w:bidi="pt_PT"/>
        </w:rPr>
        <w:t>Sumário</w:t>
      </w:r>
    </w:p>
    <w:p>
      <w:pPr/>
      <w:r>
        <w:rPr>
          <w:lang w:val="pt_PT" w:bidi="pt_PT"/>
        </w:rPr>
      </w:r>
      <w:r>
        <w:rPr>
          <w:lang w:val="pt_PT" w:bidi="pt_PT"/>
        </w:rPr>
        <w:t xml:space="preserve">Colossenses se divide em duas partes, com </w:t>
      </w:r>
      <w:hyperlink r:id="rId20">
        <w:r>
          <w:rPr>
            <w:lang w:val="pt_PT" w:bidi="pt_PT"/>
          </w:rPr>
          <w:rPr>
            <w:color w:val="0000EE"/>
            <w:u w:val="single"/>
          </w:rPr>
          <w:t>caps. 1–2</w:t>
        </w:r>
      </w:hyperlink>
      <w:r>
        <w:rPr>
          <w:lang w:val="pt_PT" w:bidi="pt_PT"/>
        </w:rPr>
        <w:t xml:space="preserve"> focados na teologia e </w:t>
      </w:r>
      <w:hyperlink r:id="rId21">
        <w:r>
          <w:rPr>
            <w:lang w:val="pt_PT" w:bidi="pt_PT"/>
          </w:rPr>
          <w:rPr>
            <w:color w:val="0000EE"/>
            <w:u w:val="single"/>
          </w:rPr>
          <w:t>caps. 3–4</w:t>
        </w:r>
      </w:hyperlink>
      <w:r>
        <w:rPr>
          <w:lang w:val="pt_PT" w:bidi="pt_PT"/>
        </w:rPr>
        <w:t xml:space="preserve"> em questões práticas.</w:t>
      </w:r>
    </w:p>
    <w:p>
      <w:pPr/>
      <w:r>
        <w:rPr>
          <w:lang w:val="pt_PT" w:bidi="pt_PT"/>
        </w:rPr>
      </w:r>
      <w:r>
        <w:rPr>
          <w:lang w:val="pt_PT" w:bidi="pt_PT"/>
        </w:rPr>
        <w:t>As saudações de Paulo (</w:t>
      </w:r>
      <w:hyperlink r:id="rId22">
        <w:r>
          <w:rPr>
            <w:lang w:val="pt_PT" w:bidi="pt_PT"/>
          </w:rPr>
          <w:rPr>
            <w:color w:val="0000EE"/>
            <w:u w:val="single"/>
          </w:rPr>
          <w:t>1.1–2</w:t>
        </w:r>
      </w:hyperlink>
      <w:r>
        <w:rPr>
          <w:lang w:val="pt_PT" w:bidi="pt_PT"/>
        </w:rPr>
        <w:t>) são seguidas por uma seção de agradecimento (</w:t>
      </w:r>
      <w:hyperlink r:id="rId23">
        <w:r>
          <w:rPr>
            <w:lang w:val="pt_PT" w:bidi="pt_PT"/>
          </w:rPr>
          <w:rPr>
            <w:color w:val="0000EE"/>
            <w:u w:val="single"/>
          </w:rPr>
          <w:t>1.3–14</w:t>
        </w:r>
      </w:hyperlink>
      <w:r>
        <w:rPr>
          <w:lang w:val="pt_PT" w:bidi="pt_PT"/>
        </w:rPr>
        <w:t>), uma maneira típica de abrir uma carta do Novo Testamento. Em seguida, para fazer seu ponto teológico principal, Paulo cita e adapta um hino sobre a supremacia de Cristo (</w:t>
      </w:r>
      <w:hyperlink r:id="rId24">
        <w:r>
          <w:rPr>
            <w:lang w:val="pt_PT" w:bidi="pt_PT"/>
          </w:rPr>
          <w:rPr>
            <w:color w:val="0000EE"/>
            <w:u w:val="single"/>
          </w:rPr>
          <w:t>1.15–20</w:t>
        </w:r>
      </w:hyperlink>
      <w:r>
        <w:rPr>
          <w:lang w:val="pt_PT" w:bidi="pt_PT"/>
        </w:rPr>
        <w:t>), depois faz uma aplicação prática (</w:t>
      </w:r>
      <w:hyperlink r:id="rId25">
        <w:r>
          <w:rPr>
            <w:lang w:val="pt_PT" w:bidi="pt_PT"/>
          </w:rPr>
          <w:rPr>
            <w:color w:val="0000EE"/>
            <w:u w:val="single"/>
          </w:rPr>
          <w:t>1.21–23</w:t>
        </w:r>
      </w:hyperlink>
      <w:r>
        <w:rPr>
          <w:lang w:val="pt_PT" w:bidi="pt_PT"/>
        </w:rPr>
        <w:t>) antes de discutir seu próprio ministério como apóstolo para os gentios (</w:t>
      </w:r>
      <w:hyperlink r:id="rId26">
        <w:r>
          <w:rPr>
            <w:lang w:val="pt_PT" w:bidi="pt_PT"/>
          </w:rPr>
          <w:rPr>
            <w:color w:val="0000EE"/>
            <w:u w:val="single"/>
          </w:rPr>
          <w:t>1.24–2.5</w:t>
        </w:r>
      </w:hyperlink>
      <w:r>
        <w:rPr>
          <w:lang w:val="pt_PT" w:bidi="pt_PT"/>
        </w:rPr>
        <w:t>). Ele então retorna ao seu ponto principal, instando os colossenses a manterem sua lealdade a Cristo Jesus, aquele que provê para sua vida espiritual (</w:t>
      </w:r>
      <w:hyperlink r:id="rId27">
        <w:r>
          <w:rPr>
            <w:lang w:val="pt_PT" w:bidi="pt_PT"/>
          </w:rPr>
          <w:rPr>
            <w:color w:val="0000EE"/>
            <w:u w:val="single"/>
          </w:rPr>
          <w:t>2.6–15</w:t>
        </w:r>
      </w:hyperlink>
      <w:r>
        <w:rPr>
          <w:lang w:val="pt_PT" w:bidi="pt_PT"/>
        </w:rPr>
        <w:t>). A parte teológica da carta conclui com um aviso para não se preocuparem com regras como meio de realização espiritual (</w:t>
      </w:r>
      <w:hyperlink r:id="rId28">
        <w:r>
          <w:rPr>
            <w:lang w:val="pt_PT" w:bidi="pt_PT"/>
          </w:rPr>
          <w:rPr>
            <w:color w:val="0000EE"/>
            <w:u w:val="single"/>
          </w:rPr>
          <w:t>2.16–23</w:t>
        </w:r>
      </w:hyperlink>
      <w:r>
        <w:rPr>
          <w:lang w:val="pt_PT" w:bidi="pt_PT"/>
        </w:rPr>
        <w:t>).</w:t>
      </w:r>
    </w:p>
    <w:p>
      <w:pPr/>
      <w:r>
        <w:rPr>
          <w:lang w:val="pt_PT" w:bidi="pt_PT"/>
        </w:rPr>
      </w:r>
      <w:r>
        <w:rPr>
          <w:lang w:val="pt_PT" w:bidi="pt_PT"/>
        </w:rPr>
        <w:t>A parte mais prática da carta (</w:t>
      </w:r>
      <w:hyperlink r:id="rId21">
        <w:r>
          <w:rPr>
            <w:lang w:val="pt_PT" w:bidi="pt_PT"/>
          </w:rPr>
          <w:rPr>
            <w:color w:val="0000EE"/>
            <w:u w:val="single"/>
          </w:rPr>
          <w:t>caps. 3–4</w:t>
        </w:r>
      </w:hyperlink>
      <w:r>
        <w:rPr>
          <w:lang w:val="pt_PT" w:bidi="pt_PT"/>
        </w:rPr>
        <w:t>) começa com um chamado geral para se afastar do pecado e abraçar a nova vida em Cristo (</w:t>
      </w:r>
      <w:hyperlink r:id="rId29">
        <w:r>
          <w:rPr>
            <w:lang w:val="pt_PT" w:bidi="pt_PT"/>
          </w:rPr>
          <w:rPr>
            <w:color w:val="0000EE"/>
            <w:u w:val="single"/>
          </w:rPr>
          <w:t>3.1–11</w:t>
        </w:r>
      </w:hyperlink>
      <w:r>
        <w:rPr>
          <w:lang w:val="pt_PT" w:bidi="pt_PT"/>
        </w:rPr>
        <w:t>). Paulo continua com instruções para a comunidade cristã (</w:t>
      </w:r>
      <w:hyperlink r:id="rId30">
        <w:r>
          <w:rPr>
            <w:lang w:val="pt_PT" w:bidi="pt_PT"/>
          </w:rPr>
          <w:rPr>
            <w:color w:val="0000EE"/>
            <w:u w:val="single"/>
          </w:rPr>
          <w:t>3.12–17</w:t>
        </w:r>
      </w:hyperlink>
      <w:r>
        <w:rPr>
          <w:lang w:val="pt_PT" w:bidi="pt_PT"/>
        </w:rPr>
        <w:t>) e a vida familiar (</w:t>
      </w:r>
      <w:hyperlink r:id="rId31">
        <w:r>
          <w:rPr>
            <w:lang w:val="pt_PT" w:bidi="pt_PT"/>
          </w:rPr>
          <w:rPr>
            <w:color w:val="0000EE"/>
            <w:u w:val="single"/>
          </w:rPr>
          <w:t>3.18–4.1</w:t>
        </w:r>
      </w:hyperlink>
      <w:r>
        <w:rPr>
          <w:lang w:val="pt_PT" w:bidi="pt_PT"/>
        </w:rPr>
        <w:t>). A carta conclui com uma exortação à oração (</w:t>
      </w:r>
      <w:hyperlink r:id="rId32">
        <w:r>
          <w:rPr>
            <w:lang w:val="pt_PT" w:bidi="pt_PT"/>
          </w:rPr>
          <w:rPr>
            <w:color w:val="0000EE"/>
            <w:u w:val="single"/>
          </w:rPr>
          <w:t>4.2–6</w:t>
        </w:r>
      </w:hyperlink>
      <w:r>
        <w:rPr>
          <w:lang w:val="pt_PT" w:bidi="pt_PT"/>
        </w:rPr>
        <w:t>) e comentários sobre colaboradores e outros cristãos (</w:t>
      </w:r>
      <w:hyperlink r:id="rId33">
        <w:r>
          <w:rPr>
            <w:lang w:val="pt_PT" w:bidi="pt_PT"/>
          </w:rPr>
          <w:rPr>
            <w:color w:val="0000EE"/>
            <w:u w:val="single"/>
          </w:rPr>
          <w:t>4.7–18</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Colossenses, Efésios, Filemom e Filipenses são referidas como as Cartas da Prisão — todas as quatro foram escritas enquanto Paulo estava na prisão por pregar sobre Jesus Cristo (veja </w:t>
      </w:r>
      <w:hyperlink r:id="rId34">
        <w:r>
          <w:rPr>
            <w:lang w:val="pt_PT" w:bidi="pt_PT"/>
          </w:rPr>
          <w:rPr>
            <w:color w:val="0000EE"/>
            <w:u w:val="single"/>
          </w:rPr>
          <w:t>4.18</w:t>
        </w:r>
      </w:hyperlink>
      <w:r>
        <w:rPr>
          <w:lang w:val="pt_PT" w:bidi="pt_PT"/>
        </w:rPr>
        <w:t xml:space="preserve">). Efésios, Colossenses e Filemom estão intimamente relacionados, tendo provavelmente sido escritos no mesmo lugar e aproximadamente na mesma época (ou Roma ou Éfeso — veja </w:t>
      </w:r>
      <w:r>
        <w:rPr>
          <w:lang w:val="pt_PT" w:bidi="pt_PT"/>
        </w:rPr>
        <w:t>Introdução ao Livro de Efésios, “Data e local da redação”</w:t>
      </w:r>
      <w:r>
        <w:rPr>
          <w:lang w:val="pt_PT" w:bidi="pt_PT"/>
        </w:rPr>
        <w:t>). Estas três cartas compartilham temas e vocabulário comuns e foram escritas para pessoas na mesma parte do mundo: Colossos estava a apenas cerca de 193 quilômetros a leste de Éfeso na província romana da Ásia, e Filemom era um residente de Colossos.</w:t>
      </w:r>
    </w:p>
    <w:p>
      <w:pPr/>
      <w:r>
        <w:rPr>
          <w:lang w:val="pt_PT" w:bidi="pt_PT"/>
        </w:rPr>
      </w:r>
      <w:r>
        <w:rPr>
          <w:lang w:val="pt_PT" w:bidi="pt_PT"/>
        </w:rPr>
        <w:t>Paulo mencionou alguns dos mesmos colegas em cada uma das Cartas da Prisão. Em sua carta a Filemom, ele explicou por que estava enviando Onésimo, o escravo fugitivo de Filemom, de volta para ele. Onésimo também viajou com a carta aos Colossenses (</w:t>
      </w:r>
      <w:hyperlink r:id="rId35">
        <w:r>
          <w:rPr>
            <w:lang w:val="pt_PT" w:bidi="pt_PT"/>
          </w:rPr>
          <w:rPr>
            <w:color w:val="0000EE"/>
            <w:u w:val="single"/>
          </w:rPr>
          <w:t>4.9</w:t>
        </w:r>
      </w:hyperlink>
      <w:r>
        <w:rPr>
          <w:lang w:val="pt_PT" w:bidi="pt_PT"/>
        </w:rPr>
        <w:t>). Tanto em Colossenses (</w:t>
      </w:r>
      <w:hyperlink r:id="rId36">
        <w:r>
          <w:rPr>
            <w:lang w:val="pt_PT" w:bidi="pt_PT"/>
          </w:rPr>
          <w:rPr>
            <w:color w:val="0000EE"/>
            <w:u w:val="single"/>
          </w:rPr>
          <w:t>4.7</w:t>
        </w:r>
      </w:hyperlink>
      <w:r>
        <w:rPr>
          <w:lang w:val="pt_PT" w:bidi="pt_PT"/>
        </w:rPr>
        <w:t>) quanto em Efésios (</w:t>
      </w:r>
      <w:hyperlink r:id="rId37">
        <w:r>
          <w:rPr>
            <w:lang w:val="pt_PT" w:bidi="pt_PT"/>
          </w:rPr>
          <w:rPr>
            <w:color w:val="0000EE"/>
            <w:u w:val="single"/>
          </w:rPr>
          <w:t>Ef 6.21</w:t>
        </w:r>
      </w:hyperlink>
      <w:r>
        <w:rPr>
          <w:lang w:val="pt_PT" w:bidi="pt_PT"/>
        </w:rPr>
        <w:t>), Paulo disse que Tíquico daria às igrejas informações mais detalhadas sobre a situação de Paulo. Portanto, Tíquico provavelmente foi o mensageiro que levou essas três cartas aos seus destinos na Ásia Menor.</w:t>
      </w:r>
    </w:p>
    <w:p>
      <w:pPr>
        <w:pStyle w:val="Heading2"/>
      </w:pPr>
      <w:r>
        <w:rPr>
          <w:lang w:val="pt_PT" w:bidi="pt_PT"/>
        </w:rPr>
        <w:t>O falso ensino</w:t>
      </w:r>
    </w:p>
    <w:p>
      <w:pPr/>
      <w:r>
        <w:rPr>
          <w:lang w:val="pt_PT" w:bidi="pt_PT"/>
        </w:rPr>
      </w:r>
      <w:r>
        <w:rPr>
          <w:lang w:val="pt_PT" w:bidi="pt_PT"/>
        </w:rP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hyperlink r:id="rId38">
        <w:r>
          <w:rPr>
            <w:lang w:val="pt_PT" w:bidi="pt_PT"/>
          </w:rPr>
          <w:rPr>
            <w:color w:val="0000EE"/>
            <w:u w:val="single"/>
          </w:rPr>
          <w:t>2.16</w:t>
        </w:r>
      </w:hyperlink>
      <w:r>
        <w:rPr>
          <w:lang w:val="pt_PT" w:bidi="pt_PT"/>
        </w:rP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2"/>
      </w:pPr>
      <w:r>
        <w:rPr>
          <w:lang w:val="pt_PT" w:bidi="pt_PT"/>
        </w:rPr>
        <w:t>Significado e mensagem</w:t>
      </w:r>
    </w:p>
    <w:p>
      <w:pPr/>
      <w:r>
        <w:rPr>
          <w:lang w:val="pt_PT" w:bidi="pt_PT"/>
        </w:rPr>
      </w:r>
      <w:r>
        <w:rPr>
          <w:lang w:val="pt_PT" w:bidi="pt_PT"/>
        </w:rP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hyperlink r:id="rId39">
        <w:r>
          <w:rPr>
            <w:lang w:val="pt_PT" w:bidi="pt_PT"/>
          </w:rPr>
          <w:rPr>
            <w:color w:val="0000EE"/>
            <w:u w:val="single"/>
          </w:rPr>
          <w:t>2.19</w:t>
        </w:r>
      </w:hyperlink>
      <w:r>
        <w:rPr>
          <w:lang w:val="pt_PT" w:bidi="pt_PT"/>
        </w:rPr>
        <w:t>). Os falsos mestres estavam baseando sua ênfase em regras em algo que não era Cristo, e isso significava que as regras não poderiam produzir benefício espiritual (</w:t>
      </w:r>
      <w:hyperlink r:id="rId40">
        <w:r>
          <w:rPr>
            <w:lang w:val="pt_PT" w:bidi="pt_PT"/>
          </w:rPr>
          <w:rPr>
            <w:color w:val="0000EE"/>
            <w:u w:val="single"/>
          </w:rPr>
          <w:t>2.23</w:t>
        </w:r>
      </w:hyperlink>
      <w:r>
        <w:rPr>
          <w:lang w:val="pt_PT" w:bidi="pt_PT"/>
        </w:rPr>
        <w:t>). Neste caso, Paulo argumenta que adição significa subtração: tentar adicionar qualquer coisa a Cristo leva a subtrair o poder que ele sozinho dá para conduzir a vida cristã.</w:t>
      </w:r>
    </w:p>
    <w:p>
      <w:pPr/>
      <w:r>
        <w:rPr>
          <w:lang w:val="pt_PT" w:bidi="pt_PT"/>
        </w:rPr>
      </w:r>
      <w:r>
        <w:rPr>
          <w:lang w:val="pt_PT" w:bidi="pt_PT"/>
        </w:rPr>
        <w:t>Cristo nos reconciliou com Deus, em quem agora vivemos, de modo que todas as nossas necessidades espirituais são satisfeitas por Ele. Não precisamos de mais ninguém ou de mais nada para a verdadeira realização espiritual.</w:t>
      </w:r>
    </w:p>
    <w:p>
      <w:pPr/>
      <w:r>
        <w:rPr>
          <w:lang w:val="pt_PT" w:bidi="pt_PT"/>
        </w:rPr>
      </w:r>
      <w:r>
        <w:rPr>
          <w:lang w:val="pt_PT" w:bidi="pt_PT"/>
        </w:rPr>
        <w:t>Paulo exortou os colossenses a não dar muita importância às práticas rituais (</w:t>
      </w:r>
      <w:hyperlink r:id="rId28">
        <w:r>
          <w:rPr>
            <w:lang w:val="pt_PT" w:bidi="pt_PT"/>
          </w:rPr>
          <w:rPr>
            <w:color w:val="0000EE"/>
            <w:u w:val="single"/>
          </w:rPr>
          <w:t>2.16–23</w:t>
        </w:r>
      </w:hyperlink>
      <w:r>
        <w:rPr>
          <w:lang w:val="pt_PT" w:bidi="pt_PT"/>
        </w:rPr>
        <w:t>). Em vez disso, todos os cristãos devem se identificar com Cristo em sua morte e ressurreição (</w:t>
      </w:r>
      <w:hyperlink r:id="rId41">
        <w:r>
          <w:rPr>
            <w:lang w:val="pt_PT" w:bidi="pt_PT"/>
          </w:rPr>
          <w:rPr>
            <w:color w:val="0000EE"/>
            <w:u w:val="single"/>
          </w:rPr>
          <w:t>2.11</w:t>
        </w:r>
      </w:hyperlink>
      <w:r>
        <w:rPr>
          <w:lang w:val="pt_PT" w:bidi="pt_PT"/>
        </w:rPr>
        <w:t>,</w:t>
      </w:r>
      <w:hyperlink r:id="rId42">
        <w:r>
          <w:rPr>
            <w:lang w:val="pt_PT" w:bidi="pt_PT"/>
          </w:rPr>
          <w:rPr>
            <w:color w:val="0000EE"/>
            <w:u w:val="single"/>
          </w:rPr>
          <w:t>19–20</w:t>
        </w:r>
      </w:hyperlink>
      <w:r>
        <w:rPr>
          <w:lang w:val="pt_PT" w:bidi="pt_PT"/>
        </w:rPr>
        <w:t xml:space="preserve">; </w:t>
      </w:r>
      <w:hyperlink r:id="rId43">
        <w:r>
          <w:rPr>
            <w:lang w:val="pt_PT" w:bidi="pt_PT"/>
          </w:rPr>
          <w:rPr>
            <w:color w:val="0000EE"/>
            <w:u w:val="single"/>
          </w:rPr>
          <w:t>3.1–4</w:t>
        </w:r>
      </w:hyperlink>
      <w:r>
        <w:rPr>
          <w:lang w:val="pt_PT" w:bidi="pt_PT"/>
        </w:rP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