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hyperlink r:id="rId13">
        <w:r>
          <w:rPr>
            <w:lang w:val="pt_PT" w:bidi="pt_PT"/>
          </w:rPr>
          <w:rPr>
            <w:color w:val="0000EE"/>
            <w:u w:val="single"/>
          </w:rPr>
          <w:t>Tg 1.1</w:t>
        </w:r>
      </w:hyperlink>
      <w:r>
        <w:rPr>
          <w:lang w:val="pt_PT" w:bidi="pt_PT"/>
        </w:rPr>
        <w:t>) que haviam sido dispersos pela perseguição que começou com o apedrejamento de Estevão (</w:t>
      </w:r>
      <w:hyperlink r:id="rId14">
        <w:r>
          <w:rPr>
            <w:lang w:val="pt_PT" w:bidi="pt_PT"/>
          </w:rPr>
          <w:rPr>
            <w:color w:val="0000EE"/>
            <w:u w:val="single"/>
          </w:rPr>
          <w:t>At 8.1</w:t>
        </w:r>
      </w:hyperlink>
      <w:r>
        <w:rPr>
          <w:lang w:val="pt_PT" w:bidi="pt_PT"/>
        </w:rPr>
        <w:t xml:space="preserve">; </w:t>
      </w:r>
      <w:hyperlink r:id="rId15">
        <w:r>
          <w:rPr>
            <w:lang w:val="pt_PT" w:bidi="pt_PT"/>
          </w:rPr>
          <w:rPr>
            <w:color w:val="0000EE"/>
            <w:u w:val="single"/>
          </w:rPr>
          <w:t>11.19</w:t>
        </w:r>
      </w:hyperlink>
      <w:r>
        <w:rPr>
          <w:lang w:val="pt_PT" w:bidi="pt_PT"/>
        </w:rPr>
        <w:t>). Eles viviam entre os judeus que anteriormente tinham sido "dispersos" na Diáspora (</w:t>
      </w:r>
      <w:hyperlink r:id="rId13">
        <w:r>
          <w:rPr>
            <w:lang w:val="pt_PT" w:bidi="pt_PT"/>
          </w:rPr>
          <w:rPr>
            <w:color w:val="0000EE"/>
            <w:u w:val="single"/>
          </w:rPr>
          <w:t>Tg 1.1</w:t>
        </w:r>
      </w:hyperlink>
      <w:r>
        <w:rPr>
          <w:lang w:val="pt_PT" w:bidi="pt_PT"/>
        </w:rPr>
        <w:t xml:space="preserve">; veja </w:t>
      </w:r>
      <w:hyperlink r:id="rId16">
        <w:r>
          <w:rPr>
            <w:lang w:val="pt_PT" w:bidi="pt_PT"/>
          </w:rPr>
          <w:rPr>
            <w:color w:val="0000EE"/>
            <w:u w:val="single"/>
          </w:rPr>
          <w:t>Jo 7.35</w:t>
        </w:r>
      </w:hyperlink>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7">
        <w:r>
          <w:rPr>
            <w:lang w:val="pt_PT" w:bidi="pt_PT"/>
          </w:rPr>
          <w:rPr>
            <w:color w:val="0000EE"/>
            <w:u w:val="single"/>
          </w:rPr>
          <w:t>Tg 4.13</w:t>
        </w:r>
      </w:hyperlink>
      <w:r>
        <w:rPr>
          <w:lang w:val="pt_PT" w:bidi="pt_PT"/>
        </w:rPr>
        <w:t xml:space="preserve">; </w:t>
      </w:r>
      <w:hyperlink r:id="rId18">
        <w:r>
          <w:rPr>
            <w:lang w:val="pt_PT" w:bidi="pt_PT"/>
          </w:rPr>
          <w:rPr>
            <w:color w:val="0000EE"/>
            <w:u w:val="single"/>
          </w:rPr>
          <w:t>At 13.14</w:t>
        </w:r>
      </w:hyperlink>
      <w:r>
        <w:rPr>
          <w:lang w:val="pt_PT" w:bidi="pt_PT"/>
        </w:rPr>
        <w:t xml:space="preserve">; </w:t>
      </w:r>
      <w:hyperlink r:id="rId19">
        <w:r>
          <w:rPr>
            <w:lang w:val="pt_PT" w:bidi="pt_PT"/>
          </w:rPr>
          <w:rPr>
            <w:color w:val="0000EE"/>
            <w:u w:val="single"/>
          </w:rPr>
          <w:t>17.1</w:t>
        </w:r>
      </w:hyperlink>
      <w:r>
        <w:rPr>
          <w:lang w:val="pt_PT" w:bidi="pt_PT"/>
        </w:rPr>
        <w:t>). Em meados do primeiro século, havia comunidades judaicas por todo o mundo greco-romano. Os crentes da Diáspora judaica estavam sob pressão de uma sociedade que os oprimia economicamente (</w:t>
      </w:r>
      <w:hyperlink r:id="rId20">
        <w:r>
          <w:rPr>
            <w:lang w:val="pt_PT" w:bidi="pt_PT"/>
          </w:rPr>
          <w:rPr>
            <w:color w:val="0000EE"/>
            <w:u w:val="single"/>
          </w:rPr>
          <w:t>Tg 2.6</w:t>
        </w:r>
      </w:hyperlink>
      <w:r>
        <w:rPr>
          <w:lang w:val="pt_PT" w:bidi="pt_PT"/>
        </w:rPr>
        <w:t>) e os abusava por sua fé em Jesus Cristo (</w:t>
      </w:r>
      <w:hyperlink r:id="rId21">
        <w:r>
          <w:rPr>
            <w:lang w:val="pt_PT" w:bidi="pt_PT"/>
          </w:rPr>
          <w:rPr>
            <w:color w:val="0000EE"/>
            <w:u w:val="single"/>
          </w:rPr>
          <w:t>2.7</w:t>
        </w:r>
      </w:hyperlink>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hyperlink r:id="rId22">
        <w:r>
          <w:rPr>
            <w:lang w:val="pt_PT" w:bidi="pt_PT"/>
          </w:rPr>
          <w:rPr>
            <w:color w:val="0000EE"/>
            <w:u w:val="single"/>
          </w:rPr>
          <w:t>1.25</w:t>
        </w:r>
      </w:hyperlink>
      <w:r>
        <w:rPr>
          <w:lang w:val="pt_PT" w:bidi="pt_PT"/>
        </w:rPr>
        <w:t xml:space="preserve">; </w:t>
      </w:r>
      <w:hyperlink r:id="rId23">
        <w:r>
          <w:rPr>
            <w:lang w:val="pt_PT" w:bidi="pt_PT"/>
          </w:rPr>
          <w:rPr>
            <w:color w:val="0000EE"/>
            <w:u w:val="single"/>
          </w:rPr>
          <w:t>2.8</w:t>
        </w:r>
      </w:hyperlink>
      <w:r>
        <w:rPr>
          <w:lang w:val="pt_PT" w:bidi="pt_PT"/>
        </w:rPr>
        <w:t>). Tiago também reflete os próprios ensinamentos de Jesus, especialmente como (posteriormente) registrados no “Sermão da Montanha” de Mateus (</w:t>
      </w:r>
      <w:hyperlink r:id="rId24">
        <w:r>
          <w:rPr>
            <w:lang w:val="pt_PT" w:bidi="pt_PT"/>
          </w:rPr>
          <w:rPr>
            <w:color w:val="0000EE"/>
            <w:u w:val="single"/>
          </w:rPr>
          <w:t>Mt 5–7</w:t>
        </w:r>
      </w:hyperlink>
      <w:r>
        <w:rPr>
          <w:lang w:val="pt_PT" w:bidi="pt_PT"/>
        </w:rPr>
        <w:t>) e no “Sermão da Planície” de Lucas (</w:t>
      </w:r>
      <w:hyperlink r:id="rId25">
        <w:r>
          <w:rPr>
            <w:lang w:val="pt_PT" w:bidi="pt_PT"/>
          </w:rPr>
          <w:rPr>
            <w:color w:val="0000EE"/>
            <w:u w:val="single"/>
          </w:rPr>
          <w:t>Lc 6.20–49</w:t>
        </w:r>
      </w:hyperlink>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hyperlink r:id="rId26">
        <w:r>
          <w:rPr>
            <w:lang w:val="pt_PT" w:bidi="pt_PT"/>
          </w:rPr>
          <w:rPr>
            <w:color w:val="0000EE"/>
            <w:u w:val="single"/>
          </w:rPr>
          <w:t>Mt 13.55</w:t>
        </w:r>
      </w:hyperlink>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hyperlink r:id="rId27">
        <w:r>
          <w:rPr>
            <w:lang w:val="pt_PT" w:bidi="pt_PT"/>
          </w:rPr>
          <w:rPr>
            <w:color w:val="0000EE"/>
            <w:u w:val="single"/>
          </w:rPr>
          <w:t>Mc 3.20–21</w:t>
        </w:r>
      </w:hyperlink>
      <w:r>
        <w:rPr>
          <w:lang w:val="pt_PT" w:bidi="pt_PT"/>
        </w:rPr>
        <w:t xml:space="preserve">; cp. </w:t>
      </w:r>
      <w:hyperlink r:id="rId28">
        <w:r>
          <w:rPr>
            <w:lang w:val="pt_PT" w:bidi="pt_PT"/>
          </w:rPr>
          <w:rPr>
            <w:color w:val="0000EE"/>
            <w:u w:val="single"/>
          </w:rPr>
          <w:t>Jo 7.3–5</w:t>
        </w:r>
      </w:hyperlink>
      <w:r>
        <w:rPr>
          <w:lang w:val="pt_PT" w:bidi="pt_PT"/>
        </w:rPr>
        <w:t xml:space="preserve">). Após a ressurreição de Jesus, Tiago tornou-se um crente, presumivelmente após uma aparição pessoal da ressurreição convencê-lo de que Jesus era o Cristo (veja </w:t>
      </w:r>
      <w:hyperlink r:id="rId29">
        <w:r>
          <w:rPr>
            <w:lang w:val="pt_PT" w:bidi="pt_PT"/>
          </w:rPr>
          <w:rPr>
            <w:color w:val="0000EE"/>
            <w:u w:val="single"/>
          </w:rPr>
          <w:t>1Co 15.7</w:t>
        </w:r>
      </w:hyperlink>
      <w:r>
        <w:rPr>
          <w:lang w:val="pt_PT" w:bidi="pt_PT"/>
        </w:rPr>
        <w:t>). Tiago estava com os outros no cenáculo quando o Espírito foi dado no Pentecostes (</w:t>
      </w:r>
      <w:hyperlink r:id="rId30">
        <w:r>
          <w:rPr>
            <w:lang w:val="pt_PT" w:bidi="pt_PT"/>
          </w:rPr>
          <w:rPr>
            <w:color w:val="0000EE"/>
            <w:u w:val="single"/>
          </w:rPr>
          <w:t>At 1.14</w:t>
        </w:r>
      </w:hyperlink>
      <w:r>
        <w:rPr>
          <w:lang w:val="pt_PT" w:bidi="pt_PT"/>
        </w:rPr>
        <w:t xml:space="preserve">; </w:t>
      </w:r>
      <w:hyperlink r:id="rId31">
        <w:r>
          <w:rPr>
            <w:lang w:val="pt_PT" w:bidi="pt_PT"/>
          </w:rPr>
          <w:rPr>
            <w:color w:val="0000EE"/>
            <w:u w:val="single"/>
          </w:rPr>
          <w:t>2.1–3</w:t>
        </w:r>
      </w:hyperlink>
      <w:r>
        <w:rPr>
          <w:lang w:val="pt_PT" w:bidi="pt_PT"/>
        </w:rPr>
        <w:t xml:space="preserve">), e ele ascendeu a uma posição de liderança na igreja de Jerusalém (veja </w:t>
      </w:r>
      <w:hyperlink r:id="rId32">
        <w:r>
          <w:rPr>
            <w:lang w:val="pt_PT" w:bidi="pt_PT"/>
          </w:rPr>
          <w:rPr>
            <w:color w:val="0000EE"/>
            <w:u w:val="single"/>
          </w:rPr>
          <w:t>At 15.13–22</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hyperlink r:id="rId33">
        <w:r>
          <w:rPr>
            <w:lang w:val="pt_PT" w:bidi="pt_PT"/>
          </w:rPr>
          <w:rPr>
            <w:color w:val="0000EE"/>
            <w:u w:val="single"/>
          </w:rPr>
          <w:t>At 12.1–5</w:t>
        </w:r>
      </w:hyperlink>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hyperlink r:id="rId34">
        <w:r>
          <w:rPr>
            <w:lang w:val="pt_PT" w:bidi="pt_PT"/>
          </w:rPr>
          <w:rPr>
            <w:color w:val="0000EE"/>
            <w:u w:val="single"/>
          </w:rPr>
          <w:t>Tg 2.2</w:t>
        </w:r>
      </w:hyperlink>
      <w:r>
        <w:rPr>
          <w:lang w:val="pt_PT" w:bidi="pt_PT"/>
        </w:rPr>
        <w:t xml:space="preserve">) e </w:t>
      </w:r>
      <w:r>
        <w:rPr>
          <w:i/>
          <w:lang w:val="pt_PT" w:bidi="pt_PT"/>
        </w:rPr>
        <w:t>igreja</w:t>
      </w:r>
      <w:r>
        <w:rPr>
          <w:lang w:val="pt_PT" w:bidi="pt_PT"/>
        </w:rPr>
        <w:t xml:space="preserve"> (</w:t>
      </w:r>
      <w:hyperlink r:id="rId35">
        <w:r>
          <w:rPr>
            <w:lang w:val="pt_PT" w:bidi="pt_PT"/>
          </w:rPr>
          <w:rPr>
            <w:color w:val="0000EE"/>
            <w:u w:val="single"/>
          </w:rPr>
          <w:t>5.14</w:t>
        </w:r>
      </w:hyperlink>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hyperlink r:id="rId36">
        <w:r>
          <w:rPr>
            <w:lang w:val="pt_PT" w:bidi="pt_PT"/>
          </w:rPr>
          <w:rPr>
            <w:color w:val="0000EE"/>
            <w:u w:val="single"/>
          </w:rPr>
          <w:t>1.23</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hyperlink r:id="rId32">
        <w:r>
          <w:rPr>
            <w:lang w:val="pt_PT" w:bidi="pt_PT"/>
          </w:rPr>
          <w:rPr>
            <w:color w:val="0000EE"/>
            <w:u w:val="single"/>
          </w:rPr>
          <w:t>At 15.13–22</w:t>
        </w:r>
      </w:hyperlink>
      <w:r>
        <w:rPr>
          <w:lang w:val="pt_PT" w:bidi="pt_PT"/>
        </w:rPr>
        <w:t xml:space="preserve">; </w:t>
      </w:r>
      <w:hyperlink r:id="rId37">
        <w:r>
          <w:rPr>
            <w:lang w:val="pt_PT" w:bidi="pt_PT"/>
          </w:rPr>
          <w:rPr>
            <w:color w:val="0000EE"/>
            <w:u w:val="single"/>
          </w:rPr>
          <w:t>21.18</w:t>
        </w:r>
      </w:hyperlink>
      <w:r>
        <w:rPr>
          <w:lang w:val="pt_PT" w:bidi="pt_PT"/>
        </w:rPr>
        <w:t xml:space="preserve">; </w:t>
      </w:r>
      <w:hyperlink r:id="rId38">
        <w:r>
          <w:rPr>
            <w:lang w:val="pt_PT" w:bidi="pt_PT"/>
          </w:rPr>
          <w:rPr>
            <w:color w:val="0000EE"/>
            <w:u w:val="single"/>
          </w:rPr>
          <w:t>Gl 1.18–19</w:t>
        </w:r>
      </w:hyperlink>
      <w:r>
        <w:rPr>
          <w:lang w:val="pt_PT" w:bidi="pt_PT"/>
        </w:rPr>
        <w:t xml:space="preserve">; </w:t>
      </w:r>
      <w:hyperlink r:id="rId39">
        <w:r>
          <w:rPr>
            <w:lang w:val="pt_PT" w:bidi="pt_PT"/>
          </w:rPr>
          <w:rPr>
            <w:color w:val="0000EE"/>
            <w:u w:val="single"/>
          </w:rPr>
          <w:t>2.9</w:t>
        </w:r>
      </w:hyperlink>
      <w:r>
        <w:rPr>
          <w:lang w:val="pt_PT" w:bidi="pt_PT"/>
        </w:rPr>
        <w:t>,</w:t>
      </w:r>
      <w:hyperlink r:id="rId40">
        <w:r>
          <w:rPr>
            <w:lang w:val="pt_PT" w:bidi="pt_PT"/>
          </w:rPr>
          <w:rPr>
            <w:color w:val="0000EE"/>
            <w:u w:val="single"/>
          </w:rPr>
          <w:t>12</w:t>
        </w:r>
      </w:hyperlink>
      <w:r>
        <w:rPr>
          <w:lang w:val="pt_PT" w:bidi="pt_PT"/>
        </w:rPr>
        <w:t>). O livro contém alusões apropriadas à Palestina, incluindo referências ao calor escaldante (</w:t>
      </w:r>
      <w:hyperlink r:id="rId41">
        <w:r>
          <w:rPr>
            <w:lang w:val="pt_PT" w:bidi="pt_PT"/>
          </w:rPr>
          <w:rPr>
            <w:color w:val="0000EE"/>
            <w:u w:val="single"/>
          </w:rPr>
          <w:t>1.11</w:t>
        </w:r>
      </w:hyperlink>
      <w:r>
        <w:rPr>
          <w:lang w:val="pt_PT" w:bidi="pt_PT"/>
        </w:rPr>
        <w:t>); fontes de água salgada (</w:t>
      </w:r>
      <w:hyperlink r:id="rId42">
        <w:r>
          <w:rPr>
            <w:lang w:val="pt_PT" w:bidi="pt_PT"/>
          </w:rPr>
          <w:rPr>
            <w:color w:val="0000EE"/>
            <w:u w:val="single"/>
          </w:rPr>
          <w:t>3.11–12</w:t>
        </w:r>
      </w:hyperlink>
      <w:r>
        <w:rPr>
          <w:lang w:val="pt_PT" w:bidi="pt_PT"/>
        </w:rPr>
        <w:t>); o cultivo de figos, azeitonas e videiras (</w:t>
      </w:r>
      <w:hyperlink r:id="rId43">
        <w:r>
          <w:rPr>
            <w:lang w:val="pt_PT" w:bidi="pt_PT"/>
          </w:rPr>
          <w:rPr>
            <w:color w:val="0000EE"/>
            <w:u w:val="single"/>
          </w:rPr>
          <w:t>3.12</w:t>
        </w:r>
      </w:hyperlink>
      <w:r>
        <w:rPr>
          <w:lang w:val="pt_PT" w:bidi="pt_PT"/>
        </w:rPr>
        <w:t>); o mar (</w:t>
      </w:r>
      <w:hyperlink r:id="rId44">
        <w:r>
          <w:rPr>
            <w:lang w:val="pt_PT" w:bidi="pt_PT"/>
          </w:rPr>
          <w:rPr>
            <w:color w:val="0000EE"/>
            <w:u w:val="single"/>
          </w:rPr>
          <w:t>1.6</w:t>
        </w:r>
      </w:hyperlink>
      <w:r>
        <w:rPr>
          <w:lang w:val="pt_PT" w:bidi="pt_PT"/>
        </w:rPr>
        <w:t xml:space="preserve">; </w:t>
      </w:r>
      <w:hyperlink r:id="rId45">
        <w:r>
          <w:rPr>
            <w:lang w:val="pt_PT" w:bidi="pt_PT"/>
          </w:rPr>
          <w:rPr>
            <w:color w:val="0000EE"/>
            <w:u w:val="single"/>
          </w:rPr>
          <w:t>3.4</w:t>
        </w:r>
      </w:hyperlink>
      <w:r>
        <w:rPr>
          <w:lang w:val="pt_PT" w:bidi="pt_PT"/>
        </w:rPr>
        <w:t>); e as chuvas do início e do fim (</w:t>
      </w:r>
      <w:hyperlink r:id="rId46">
        <w:r>
          <w:rPr>
            <w:lang w:val="pt_PT" w:bidi="pt_PT"/>
          </w:rPr>
          <w:rPr>
            <w:color w:val="0000EE"/>
            <w:u w:val="single"/>
          </w:rPr>
          <w:t>5.7</w:t>
        </w:r>
      </w:hyperlink>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7">
        <w:r>
          <w:rPr>
            <w:lang w:val="pt_PT" w:bidi="pt_PT"/>
          </w:rPr>
          <w:rPr>
            <w:color w:val="0000EE"/>
            <w:u w:val="single"/>
          </w:rPr>
          <w:t>4.6</w:t>
        </w:r>
      </w:hyperlink>
      <w:r>
        <w:rPr>
          <w:lang w:val="pt_PT" w:bidi="pt_PT"/>
        </w:rPr>
        <w:t>), juntamente com algumas imagens do mundo helenístico.</w:t>
      </w:r>
    </w:p>
    <w:p>
      <w:pPr/>
      <w:r>
        <w:rPr>
          <w:lang w:val="pt_PT" w:bidi="pt_PT"/>
        </w:rPr>
      </w:r>
      <w:r>
        <w:rPr>
          <w:lang w:val="pt_PT" w:bidi="pt_PT"/>
        </w:rPr>
        <w:t>Tiago utiliza muitos recursos oratórios, como apelos fraternais (</w:t>
      </w:r>
      <w:hyperlink r:id="rId48">
        <w:r>
          <w:rPr>
            <w:lang w:val="pt_PT" w:bidi="pt_PT"/>
          </w:rPr>
          <w:rPr>
            <w:color w:val="0000EE"/>
            <w:u w:val="single"/>
          </w:rPr>
          <w:t>1.2</w:t>
        </w:r>
      </w:hyperlink>
      <w:r>
        <w:rPr>
          <w:lang w:val="pt_PT" w:bidi="pt_PT"/>
        </w:rPr>
        <w:t xml:space="preserve">; </w:t>
      </w:r>
      <w:hyperlink r:id="rId49">
        <w:r>
          <w:rPr>
            <w:lang w:val="pt_PT" w:bidi="pt_PT"/>
          </w:rPr>
          <w:rPr>
            <w:color w:val="0000EE"/>
            <w:u w:val="single"/>
          </w:rPr>
          <w:t>2.1</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1">
        <w:r>
          <w:rPr>
            <w:lang w:val="pt_PT" w:bidi="pt_PT"/>
          </w:rPr>
          <w:rPr>
            <w:color w:val="0000EE"/>
            <w:u w:val="single"/>
          </w:rPr>
          <w:t>4.11</w:t>
        </w:r>
      </w:hyperlink>
      <w:r>
        <w:rPr>
          <w:lang w:val="pt_PT" w:bidi="pt_PT"/>
        </w:rPr>
        <w:t>), perguntas retóricas (</w:t>
      </w:r>
      <w:hyperlink r:id="rId52">
        <w:r>
          <w:rPr>
            <w:lang w:val="pt_PT" w:bidi="pt_PT"/>
          </w:rPr>
          <w:rPr>
            <w:color w:val="0000EE"/>
            <w:u w:val="single"/>
          </w:rPr>
          <w:t>2.5</w:t>
        </w:r>
      </w:hyperlink>
      <w:r>
        <w:rPr>
          <w:lang w:val="pt_PT" w:bidi="pt_PT"/>
        </w:rPr>
        <w:t xml:space="preserve">; </w:t>
      </w:r>
      <w:hyperlink r:id="rId42">
        <w:r>
          <w:rPr>
            <w:lang w:val="pt_PT" w:bidi="pt_PT"/>
          </w:rPr>
          <w:rPr>
            <w:color w:val="0000EE"/>
            <w:u w:val="single"/>
          </w:rPr>
          <w:t>3.11–12</w:t>
        </w:r>
      </w:hyperlink>
      <w:r>
        <w:rPr>
          <w:lang w:val="pt_PT" w:bidi="pt_PT"/>
        </w:rPr>
        <w:t xml:space="preserve">; </w:t>
      </w:r>
      <w:hyperlink r:id="rId53">
        <w:r>
          <w:rPr>
            <w:lang w:val="pt_PT" w:bidi="pt_PT"/>
          </w:rPr>
          <w:rPr>
            <w:color w:val="0000EE"/>
            <w:u w:val="single"/>
          </w:rPr>
          <w:t>4.1</w:t>
        </w:r>
      </w:hyperlink>
      <w:r>
        <w:rPr>
          <w:lang w:val="pt_PT" w:bidi="pt_PT"/>
        </w:rPr>
        <w:t>), exortações imperativas (</w:t>
      </w:r>
      <w:hyperlink r:id="rId54">
        <w:r>
          <w:rPr>
            <w:lang w:val="pt_PT" w:bidi="pt_PT"/>
          </w:rPr>
          <w:rPr>
            <w:color w:val="0000EE"/>
            <w:u w:val="single"/>
          </w:rPr>
          <w:t>1.16</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5">
        <w:r>
          <w:rPr>
            <w:lang w:val="pt_PT" w:bidi="pt_PT"/>
          </w:rPr>
          <w:rPr>
            <w:color w:val="0000EE"/>
            <w:u w:val="single"/>
          </w:rPr>
          <w:t>5.16</w:t>
        </w:r>
      </w:hyperlink>
      <w:r>
        <w:rPr>
          <w:lang w:val="pt_PT" w:bidi="pt_PT"/>
        </w:rPr>
        <w:t>), metáforas e ilustrações (</w:t>
      </w:r>
      <w:hyperlink r:id="rId56">
        <w:r>
          <w:rPr>
            <w:lang w:val="pt_PT" w:bidi="pt_PT"/>
          </w:rPr>
          <w:rPr>
            <w:color w:val="0000EE"/>
            <w:u w:val="single"/>
          </w:rPr>
          <w:t>2.26</w:t>
        </w:r>
      </w:hyperlink>
      <w:r>
        <w:rPr>
          <w:lang w:val="pt_PT" w:bidi="pt_PT"/>
        </w:rPr>
        <w:t xml:space="preserve">; </w:t>
      </w:r>
      <w:hyperlink r:id="rId57">
        <w:r>
          <w:rPr>
            <w:lang w:val="pt_PT" w:bidi="pt_PT"/>
          </w:rPr>
          <w:rPr>
            <w:color w:val="0000EE"/>
            <w:u w:val="single"/>
          </w:rPr>
          <w:t>3.3–5</w:t>
        </w:r>
      </w:hyperlink>
      <w:r>
        <w:rPr>
          <w:lang w:val="pt_PT" w:bidi="pt_PT"/>
        </w:rPr>
        <w:t xml:space="preserve">; </w:t>
      </w:r>
      <w:hyperlink r:id="rId58">
        <w:r>
          <w:rPr>
            <w:lang w:val="pt_PT" w:bidi="pt_PT"/>
          </w:rPr>
          <w:rPr>
            <w:color w:val="0000EE"/>
            <w:u w:val="single"/>
          </w:rPr>
          <w:t>4.14</w:t>
        </w:r>
      </w:hyperlink>
      <w:r>
        <w:rPr>
          <w:lang w:val="pt_PT" w:bidi="pt_PT"/>
        </w:rPr>
        <w:t>), e aforismos que resumem parágrafos (</w:t>
      </w:r>
      <w:hyperlink r:id="rId59">
        <w:r>
          <w:rPr>
            <w:lang w:val="pt_PT" w:bidi="pt_PT"/>
          </w:rPr>
          <w:rPr>
            <w:color w:val="0000EE"/>
            <w:u w:val="single"/>
          </w:rPr>
          <w:t>2.13</w:t>
        </w:r>
      </w:hyperlink>
      <w:r>
        <w:rPr>
          <w:lang w:val="pt_PT" w:bidi="pt_PT"/>
        </w:rPr>
        <w:t>,</w:t>
      </w:r>
      <w:hyperlink r:id="rId60">
        <w:r>
          <w:rPr>
            <w:lang w:val="pt_PT" w:bidi="pt_PT"/>
          </w:rPr>
          <w:rPr>
            <w:color w:val="0000EE"/>
            <w:u w:val="single"/>
          </w:rPr>
          <w:t>17</w:t>
        </w:r>
      </w:hyperlink>
      <w:r>
        <w:rPr>
          <w:lang w:val="pt_PT" w:bidi="pt_PT"/>
        </w:rPr>
        <w:t xml:space="preserve">; </w:t>
      </w:r>
      <w:hyperlink r:id="rId61">
        <w:r>
          <w:rPr>
            <w:lang w:val="pt_PT" w:bidi="pt_PT"/>
          </w:rPr>
          <w:rPr>
            <w:color w:val="0000EE"/>
            <w:u w:val="single"/>
          </w:rPr>
          <w:t>3.18</w:t>
        </w:r>
      </w:hyperlink>
      <w:r>
        <w:rPr>
          <w:lang w:val="pt_PT" w:bidi="pt_PT"/>
        </w:rPr>
        <w:t xml:space="preserve">; </w:t>
      </w:r>
      <w:hyperlink r:id="rId62">
        <w:r>
          <w:rPr>
            <w:lang w:val="pt_PT" w:bidi="pt_PT"/>
          </w:rPr>
          <w:rPr>
            <w:color w:val="0000EE"/>
            <w:u w:val="single"/>
          </w:rPr>
          <w:t>4.17</w:t>
        </w:r>
      </w:hyperlink>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hyperlink r:id="rId44">
        <w:r>
          <w:rPr>
            <w:lang w:val="pt_PT" w:bidi="pt_PT"/>
          </w:rPr>
          <w:rPr>
            <w:color w:val="0000EE"/>
            <w:u w:val="single"/>
          </w:rPr>
          <w:t>Tg 1.6</w:t>
        </w:r>
      </w:hyperlink>
      <w:r>
        <w:rPr>
          <w:lang w:val="pt_PT" w:bidi="pt_PT"/>
        </w:rPr>
        <w:t>). Tiago recomenda paciência e perseverança (</w:t>
      </w:r>
      <w:hyperlink r:id="rId63">
        <w:r>
          <w:rPr>
            <w:lang w:val="pt_PT" w:bidi="pt_PT"/>
          </w:rPr>
          <w:rPr>
            <w:color w:val="0000EE"/>
            <w:u w:val="single"/>
          </w:rPr>
          <w:t>1.3</w:t>
        </w:r>
      </w:hyperlink>
      <w:r>
        <w:rPr>
          <w:lang w:val="pt_PT" w:bidi="pt_PT"/>
        </w:rPr>
        <w:t>), submissão a Deus (</w:t>
      </w:r>
      <w:hyperlink r:id="rId64">
        <w:r>
          <w:rPr>
            <w:lang w:val="pt_PT" w:bidi="pt_PT"/>
          </w:rPr>
          <w:rPr>
            <w:color w:val="0000EE"/>
            <w:u w:val="single"/>
          </w:rPr>
          <w:t>4.7</w:t>
        </w:r>
      </w:hyperlink>
      <w:r>
        <w:rPr>
          <w:lang w:val="pt_PT" w:bidi="pt_PT"/>
        </w:rPr>
        <w:t>) e participação nos ministérios da igreja (</w:t>
      </w:r>
      <w:hyperlink r:id="rId65">
        <w:r>
          <w:rPr>
            <w:lang w:val="pt_PT" w:bidi="pt_PT"/>
          </w:rPr>
          <w:rPr>
            <w:color w:val="0000EE"/>
            <w:u w:val="single"/>
          </w:rPr>
          <w:t>5.13–20</w:t>
        </w:r>
      </w:hyperlink>
      <w:r>
        <w:rPr>
          <w:lang w:val="pt_PT" w:bidi="pt_PT"/>
        </w:rPr>
        <w:t>). Isso resultará em perfeição (</w:t>
      </w:r>
      <w:hyperlink r:id="rId66">
        <w:r>
          <w:rPr>
            <w:lang w:val="pt_PT" w:bidi="pt_PT"/>
          </w:rPr>
          <w:rPr>
            <w:color w:val="0000EE"/>
            <w:u w:val="single"/>
          </w:rPr>
          <w:t>1.4</w:t>
        </w:r>
      </w:hyperlink>
      <w:r>
        <w:rPr>
          <w:lang w:val="pt_PT" w:bidi="pt_PT"/>
        </w:rPr>
        <w:t>), honra (</w:t>
      </w:r>
      <w:hyperlink r:id="rId67">
        <w:r>
          <w:rPr>
            <w:lang w:val="pt_PT" w:bidi="pt_PT"/>
          </w:rPr>
          <w:rPr>
            <w:color w:val="0000EE"/>
            <w:u w:val="single"/>
          </w:rPr>
          <w:t>4.10</w:t>
        </w:r>
      </w:hyperlink>
      <w:r>
        <w:rPr>
          <w:lang w:val="pt_PT" w:bidi="pt_PT"/>
        </w:rPr>
        <w:t>) e uma vida gloriosa (</w:t>
      </w:r>
      <w:hyperlink r:id="rId68">
        <w:r>
          <w:rPr>
            <w:lang w:val="pt_PT" w:bidi="pt_PT"/>
          </w:rPr>
          <w:rPr>
            <w:color w:val="0000EE"/>
            <w:u w:val="single"/>
          </w:rPr>
          <w:t>1.12</w:t>
        </w:r>
      </w:hyperlink>
      <w:r>
        <w:rPr>
          <w:lang w:val="pt_PT" w:bidi="pt_PT"/>
        </w:rPr>
        <w:t>) na vinda de Jesus Cristo (</w:t>
      </w:r>
      <w:hyperlink r:id="rId69">
        <w:r>
          <w:rPr>
            <w:lang w:val="pt_PT" w:bidi="pt_PT"/>
          </w:rPr>
          <w:rPr>
            <w:color w:val="0000EE"/>
            <w:u w:val="single"/>
          </w:rPr>
          <w:t>5.8</w:t>
        </w:r>
      </w:hyperlink>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hyperlink r:id="rId70">
        <w:r>
          <w:rPr>
            <w:lang w:val="pt_PT" w:bidi="pt_PT"/>
          </w:rPr>
          <w:rPr>
            <w:color w:val="0000EE"/>
            <w:u w:val="single"/>
          </w:rPr>
          <w:t>At 21.18–25</w:t>
        </w:r>
      </w:hyperlink>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hyperlink r:id="rId71">
        <w:r>
          <w:rPr>
            <w:lang w:val="pt_PT" w:bidi="pt_PT"/>
          </w:rPr>
          <w:rPr>
            <w:color w:val="0000EE"/>
            <w:u w:val="single"/>
          </w:rPr>
          <w:t>At 15.19–22</w:t>
        </w:r>
      </w:hyperlink>
      <w:r>
        <w:rPr>
          <w:lang w:val="pt_PT" w:bidi="pt_PT"/>
        </w:rPr>
        <w:t xml:space="preserve">; veja </w:t>
      </w:r>
      <w:hyperlink r:id="rId72">
        <w:r>
          <w:rPr>
            <w:lang w:val="pt_PT" w:bidi="pt_PT"/>
          </w:rPr>
          <w:rPr>
            <w:color w:val="0000EE"/>
            <w:u w:val="single"/>
          </w:rPr>
          <w:t>Gn 9.1–17</w:t>
        </w:r>
      </w:hyperlink>
      <w:r>
        <w:rPr>
          <w:lang w:val="pt_PT" w:bidi="pt_PT"/>
        </w:rPr>
        <w:t>). Em sua carta, encontramos Tiago tanto defendendo a lei (</w:t>
      </w:r>
      <w:hyperlink r:id="rId22">
        <w:r>
          <w:rPr>
            <w:lang w:val="pt_PT" w:bidi="pt_PT"/>
          </w:rPr>
          <w:rPr>
            <w:color w:val="0000EE"/>
            <w:u w:val="single"/>
          </w:rPr>
          <w:t>Tg 1.25</w:t>
        </w:r>
      </w:hyperlink>
      <w:r>
        <w:rPr>
          <w:lang w:val="pt_PT" w:bidi="pt_PT"/>
        </w:rPr>
        <w:t>) quanto ao mesmo tempo insinuando sua reinterpretação através de Jesus, o Messias (</w:t>
      </w:r>
      <w:hyperlink r:id="rId73">
        <w:r>
          <w:rPr>
            <w:lang w:val="pt_PT" w:bidi="pt_PT"/>
          </w:rPr>
          <w:rPr>
            <w:color w:val="0000EE"/>
            <w:u w:val="single"/>
          </w:rPr>
          <w:t>2.8–11</w:t>
        </w:r>
      </w:hyperlink>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hyperlink r:id="rId74">
        <w:r>
          <w:rPr>
            <w:lang w:val="pt_PT" w:bidi="pt_PT"/>
          </w:rPr>
          <w:rPr>
            <w:color w:val="0000EE"/>
            <w:u w:val="single"/>
          </w:rPr>
          <w:t>Rm 2.29</w:t>
        </w:r>
      </w:hyperlink>
      <w:r>
        <w:rPr>
          <w:lang w:val="pt_PT" w:bidi="pt_PT"/>
        </w:rPr>
        <w:t>). Tiago se dirige aos leitores como as “doze tribos” (</w:t>
      </w:r>
      <w:hyperlink r:id="rId13">
        <w:r>
          <w:rPr>
            <w:lang w:val="pt_PT" w:bidi="pt_PT"/>
          </w:rPr>
          <w:rPr>
            <w:color w:val="0000EE"/>
            <w:u w:val="single"/>
          </w:rPr>
          <w:t>1.1</w:t>
        </w:r>
      </w:hyperlink>
      <w:r>
        <w:rPr>
          <w:lang w:val="pt_PT" w:bidi="pt_PT"/>
        </w:rPr>
        <w:t>) e identifica a reunião da igreja deles como uma sinagoga (</w:t>
      </w:r>
      <w:hyperlink r:id="rId34">
        <w:r>
          <w:rPr>
            <w:lang w:val="pt_PT" w:bidi="pt_PT"/>
          </w:rPr>
          <w:rPr>
            <w:color w:val="0000EE"/>
            <w:u w:val="single"/>
          </w:rPr>
          <w:t>2.2</w:t>
        </w:r>
      </w:hyperlink>
      <w:r>
        <w:rPr>
          <w:lang w:val="pt_PT" w:bidi="pt_PT"/>
        </w:rPr>
        <w:t>) com anciãos (</w:t>
      </w:r>
      <w:hyperlink r:id="rId35">
        <w:r>
          <w:rPr>
            <w:lang w:val="pt_PT" w:bidi="pt_PT"/>
          </w:rPr>
          <w:rPr>
            <w:color w:val="0000EE"/>
            <w:u w:val="single"/>
          </w:rPr>
          <w:t>5.14</w:t>
        </w:r>
      </w:hyperlink>
      <w:r>
        <w:rPr>
          <w:lang w:val="pt_PT" w:bidi="pt_PT"/>
        </w:rPr>
        <w:t>) e mestres (</w:t>
      </w:r>
      <w:hyperlink r:id="rId50">
        <w:r>
          <w:rPr>
            <w:lang w:val="pt_PT" w:bidi="pt_PT"/>
          </w:rPr>
          <w:rPr>
            <w:color w:val="0000EE"/>
            <w:u w:val="single"/>
          </w:rPr>
          <w:t>3.1</w:t>
        </w:r>
      </w:hyperlink>
      <w:r>
        <w:rPr>
          <w:lang w:val="pt_PT" w:bidi="pt_PT"/>
        </w:rPr>
        <w:t>). Ele se refere à lei de Moisés repetidamente (</w:t>
      </w:r>
      <w:hyperlink r:id="rId22">
        <w:r>
          <w:rPr>
            <w:lang w:val="pt_PT" w:bidi="pt_PT"/>
          </w:rPr>
          <w:rPr>
            <w:color w:val="0000EE"/>
            <w:u w:val="single"/>
          </w:rPr>
          <w:t>1.25</w:t>
        </w:r>
      </w:hyperlink>
      <w:r>
        <w:rPr>
          <w:lang w:val="pt_PT" w:bidi="pt_PT"/>
        </w:rPr>
        <w:t xml:space="preserve">; </w:t>
      </w:r>
      <w:hyperlink r:id="rId75">
        <w:r>
          <w:rPr>
            <w:lang w:val="pt_PT" w:bidi="pt_PT"/>
          </w:rPr>
          <w:rPr>
            <w:color w:val="0000EE"/>
            <w:u w:val="single"/>
          </w:rPr>
          <w:t>2.8–12</w:t>
        </w:r>
      </w:hyperlink>
      <w:r>
        <w:rPr>
          <w:lang w:val="pt_PT" w:bidi="pt_PT"/>
        </w:rPr>
        <w:t xml:space="preserve">; </w:t>
      </w:r>
      <w:hyperlink r:id="rId51">
        <w:r>
          <w:rPr>
            <w:lang w:val="pt_PT" w:bidi="pt_PT"/>
          </w:rPr>
          <w:rPr>
            <w:color w:val="0000EE"/>
            <w:u w:val="single"/>
          </w:rPr>
          <w:t>4.11</w:t>
        </w:r>
      </w:hyperlink>
      <w:r>
        <w:rPr>
          <w:lang w:val="pt_PT" w:bidi="pt_PT"/>
        </w:rPr>
        <w:t xml:space="preserve">), cita o credo fundamental de Israel (o </w:t>
      </w:r>
      <w:r>
        <w:rPr>
          <w:i/>
          <w:lang w:val="pt_PT" w:bidi="pt_PT"/>
        </w:rPr>
        <w:t>Shema</w:t>
      </w:r>
      <w:r>
        <w:rPr>
          <w:lang w:val="pt_PT" w:bidi="pt_PT"/>
        </w:rPr>
        <w:t xml:space="preserve">, </w:t>
      </w:r>
      <w:hyperlink r:id="rId76">
        <w:r>
          <w:rPr>
            <w:lang w:val="pt_PT" w:bidi="pt_PT"/>
          </w:rPr>
          <w:rPr>
            <w:color w:val="0000EE"/>
            <w:u w:val="single"/>
          </w:rPr>
          <w:t>2.19</w:t>
        </w:r>
      </w:hyperlink>
      <w:r>
        <w:rPr>
          <w:lang w:val="pt_PT" w:bidi="pt_PT"/>
        </w:rPr>
        <w:t>), e nomeia Deus como “o Senhor dos Exércitos do céu” (</w:t>
      </w:r>
      <w:hyperlink r:id="rId77">
        <w:r>
          <w:rPr>
            <w:lang w:val="pt_PT" w:bidi="pt_PT"/>
          </w:rPr>
          <w:rPr>
            <w:color w:val="0000EE"/>
            <w:u w:val="single"/>
          </w:rPr>
          <w:t>5.4</w:t>
        </w:r>
      </w:hyperlink>
      <w:r>
        <w:rPr>
          <w:lang w:val="pt_PT" w:bidi="pt_PT"/>
        </w:rPr>
        <w:t>), um título comum do Antigo Testamento para Deus. Tiago também utiliza os elementos literários da literatura de sabedoria do Antigo Testamento (</w:t>
      </w:r>
      <w:hyperlink r:id="rId78">
        <w:r>
          <w:rPr>
            <w:lang w:val="pt_PT" w:bidi="pt_PT"/>
          </w:rPr>
          <w:rPr>
            <w:color w:val="0000EE"/>
            <w:u w:val="single"/>
          </w:rPr>
          <w:t>1.5</w:t>
        </w:r>
      </w:hyperlink>
      <w:r>
        <w:rPr>
          <w:lang w:val="pt_PT" w:bidi="pt_PT"/>
        </w:rPr>
        <w:t xml:space="preserve">; </w:t>
      </w:r>
      <w:hyperlink r:id="rId79">
        <w:r>
          <w:rPr>
            <w:lang w:val="pt_PT" w:bidi="pt_PT"/>
          </w:rPr>
          <w:rPr>
            <w:color w:val="0000EE"/>
            <w:u w:val="single"/>
          </w:rPr>
          <w:t>3.13</w:t>
        </w:r>
      </w:hyperlink>
      <w:r>
        <w:rPr>
          <w:lang w:val="pt_PT" w:bidi="pt_PT"/>
        </w:rPr>
        <w:t>,</w:t>
      </w:r>
      <w:hyperlink r:id="rId80">
        <w:r>
          <w:rPr>
            <w:lang w:val="pt_PT" w:bidi="pt_PT"/>
          </w:rPr>
          <w:rPr>
            <w:color w:val="0000EE"/>
            <w:u w:val="single"/>
          </w:rPr>
          <w:t>17</w:t>
        </w:r>
      </w:hyperlink>
      <w:r>
        <w:rPr>
          <w:lang w:val="pt_PT" w:bidi="pt_PT"/>
        </w:rPr>
        <w:t>) e exortações proféticas (</w:t>
      </w:r>
      <w:hyperlink r:id="rId17">
        <w:r>
          <w:rPr>
            <w:lang w:val="pt_PT" w:bidi="pt_PT"/>
          </w:rPr>
          <w:rPr>
            <w:color w:val="0000EE"/>
            <w:u w:val="single"/>
          </w:rPr>
          <w:t>4.13</w:t>
        </w:r>
      </w:hyperlink>
      <w:r>
        <w:rPr>
          <w:lang w:val="pt_PT" w:bidi="pt_PT"/>
        </w:rPr>
        <w:t xml:space="preserve">; </w:t>
      </w:r>
      <w:hyperlink r:id="rId81">
        <w:r>
          <w:rPr>
            <w:lang w:val="pt_PT" w:bidi="pt_PT"/>
          </w:rPr>
          <w:rPr>
            <w:color w:val="0000EE"/>
            <w:u w:val="single"/>
          </w:rPr>
          <w:t>5.1</w:t>
        </w:r>
      </w:hyperlink>
      <w:r>
        <w:rPr>
          <w:lang w:val="pt_PT" w:bidi="pt_PT"/>
        </w:rPr>
        <w:t xml:space="preserve">). Ele também apela para heróis israelitas (Abraão, </w:t>
      </w:r>
      <w:hyperlink r:id="rId82">
        <w:r>
          <w:rPr>
            <w:lang w:val="pt_PT" w:bidi="pt_PT"/>
          </w:rPr>
          <w:rPr>
            <w:color w:val="0000EE"/>
            <w:u w:val="single"/>
          </w:rPr>
          <w:t>2.21</w:t>
        </w:r>
      </w:hyperlink>
      <w:r>
        <w:rPr>
          <w:lang w:val="pt_PT" w:bidi="pt_PT"/>
        </w:rPr>
        <w:t>,</w:t>
      </w:r>
      <w:hyperlink r:id="rId83">
        <w:r>
          <w:rPr>
            <w:lang w:val="pt_PT" w:bidi="pt_PT"/>
          </w:rPr>
          <w:rPr>
            <w:color w:val="0000EE"/>
            <w:u w:val="single"/>
          </w:rPr>
          <w:t>23</w:t>
        </w:r>
      </w:hyperlink>
      <w:r>
        <w:rPr>
          <w:lang w:val="pt_PT" w:bidi="pt_PT"/>
        </w:rPr>
        <w:t xml:space="preserve">; Raabe, </w:t>
      </w:r>
      <w:hyperlink r:id="rId84">
        <w:r>
          <w:rPr>
            <w:lang w:val="pt_PT" w:bidi="pt_PT"/>
          </w:rPr>
          <w:rPr>
            <w:color w:val="0000EE"/>
            <w:u w:val="single"/>
          </w:rPr>
          <w:t>2.25</w:t>
        </w:r>
      </w:hyperlink>
      <w:r>
        <w:rPr>
          <w:lang w:val="pt_PT" w:bidi="pt_PT"/>
        </w:rPr>
        <w:t xml:space="preserve">; Jó, </w:t>
      </w:r>
      <w:hyperlink r:id="rId85">
        <w:r>
          <w:rPr>
            <w:lang w:val="pt_PT" w:bidi="pt_PT"/>
          </w:rPr>
          <w:rPr>
            <w:color w:val="0000EE"/>
            <w:u w:val="single"/>
          </w:rPr>
          <w:t>5.11</w:t>
        </w:r>
      </w:hyperlink>
      <w:r>
        <w:rPr>
          <w:lang w:val="pt_PT" w:bidi="pt_PT"/>
        </w:rPr>
        <w:t xml:space="preserve">; Elias, </w:t>
      </w:r>
      <w:hyperlink r:id="rId86">
        <w:r>
          <w:rPr>
            <w:lang w:val="pt_PT" w:bidi="pt_PT"/>
          </w:rPr>
          <w:rPr>
            <w:color w:val="0000EE"/>
            <w:u w:val="single"/>
          </w:rPr>
          <w:t>5.17</w:t>
        </w:r>
      </w:hyperlink>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7">
        <w:r>
          <w:rPr>
            <w:lang w:val="pt_PT" w:bidi="pt_PT"/>
          </w:rPr>
          <w:rPr>
            <w:color w:val="0000EE"/>
            <w:u w:val="single"/>
          </w:rPr>
          <w:t>Ef 2.8–9</w:t>
        </w:r>
      </w:hyperlink>
      <w:r>
        <w:rPr>
          <w:lang w:val="pt_PT" w:bidi="pt_PT"/>
        </w:rPr>
        <w:t>) — as pessoas não podem se reconciliar com Deus “fazendo o que a lei ordena” (</w:t>
      </w:r>
      <w:hyperlink r:id="rId88">
        <w:r>
          <w:rPr>
            <w:lang w:val="pt_PT" w:bidi="pt_PT"/>
          </w:rPr>
          <w:rPr>
            <w:color w:val="0000EE"/>
            <w:u w:val="single"/>
          </w:rPr>
          <w:t>Rm 3.20</w:t>
        </w:r>
      </w:hyperlink>
      <w:r>
        <w:rPr>
          <w:lang w:val="pt_PT" w:bidi="pt_PT"/>
        </w:rPr>
        <w:t xml:space="preserve">, </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Gl 2.16</w:t>
        </w:r>
      </w:hyperlink>
      <w:r>
        <w:rPr>
          <w:lang w:val="pt_PT" w:bidi="pt_PT"/>
        </w:rPr>
        <w:t>) ou, de fato, por qualquer coisa que possam fazer (</w:t>
      </w:r>
      <w:hyperlink r:id="rId91">
        <w:r>
          <w:rPr>
            <w:lang w:val="pt_PT" w:bidi="pt_PT"/>
          </w:rPr>
          <w:rPr>
            <w:color w:val="0000EE"/>
            <w:u w:val="single"/>
          </w:rPr>
          <w:t>Rm 4.3–5</w:t>
        </w:r>
      </w:hyperlink>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6">
        <w:r>
          <w:rPr>
            <w:lang w:val="pt_PT" w:bidi="pt_PT"/>
          </w:rPr>
          <w:rPr>
            <w:color w:val="0000EE"/>
            <w:u w:val="single"/>
          </w:rPr>
          <w:t>2.19</w:t>
        </w:r>
      </w:hyperlink>
      <w:r>
        <w:rPr>
          <w:lang w:val="pt_PT" w:bidi="pt_PT"/>
        </w:rPr>
        <w:t>), e a fidelidade não permite uma lealdade dividida entre Deus e o mundo (</w:t>
      </w:r>
      <w:hyperlink r:id="rId92">
        <w:r>
          <w:rPr>
            <w:lang w:val="pt_PT" w:bidi="pt_PT"/>
          </w:rPr>
          <w:rPr>
            <w:color w:val="0000EE"/>
            <w:u w:val="single"/>
          </w:rPr>
          <w:t>1.8</w:t>
        </w:r>
      </w:hyperlink>
      <w:r>
        <w:rPr>
          <w:lang w:val="pt_PT" w:bidi="pt_PT"/>
        </w:rPr>
        <w:t xml:space="preserve">; </w:t>
      </w:r>
      <w:hyperlink r:id="rId93">
        <w:r>
          <w:rPr>
            <w:lang w:val="pt_PT" w:bidi="pt_PT"/>
          </w:rPr>
          <w:rPr>
            <w:color w:val="0000EE"/>
            <w:u w:val="single"/>
          </w:rPr>
          <w:t>4.4</w:t>
        </w:r>
      </w:hyperlink>
      <w:r>
        <w:rPr>
          <w:lang w:val="pt_PT" w:bidi="pt_PT"/>
        </w:rPr>
        <w:t xml:space="preserve">, </w:t>
      </w:r>
      <w:hyperlink r:id="rId64">
        <w:r>
          <w:rPr>
            <w:lang w:val="pt_PT" w:bidi="pt_PT"/>
          </w:rPr>
          <w:rPr>
            <w:color w:val="0000EE"/>
            <w:u w:val="single"/>
          </w:rPr>
          <w:t>7</w:t>
        </w:r>
      </w:hyperlink>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