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3">
        <w:r>
          <w:rPr>
            <w:lang w:val="pt_PT" w:bidi="pt_PT"/>
          </w:rPr>
          <w:rPr>
            <w:color w:val="0000EE"/>
            <w:u w:val="single"/>
          </w:rPr>
          <w:t>4.1–3</w:t>
        </w:r>
      </w:hyperlink>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hyperlink r:id="rId14">
        <w:r>
          <w:rPr>
            <w:lang w:val="pt_PT" w:bidi="pt_PT"/>
          </w:rPr>
          <w:rPr>
            <w:color w:val="0000EE"/>
            <w:u w:val="single"/>
          </w:rPr>
          <w:t>2.18–19</w:t>
        </w:r>
      </w:hyperlink>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5">
        <w:r>
          <w:rPr>
            <w:lang w:val="pt_PT" w:bidi="pt_PT"/>
          </w:rPr>
          <w:rPr>
            <w:color w:val="0000EE"/>
            <w:u w:val="single"/>
          </w:rPr>
          <w:t>5.5–8</w:t>
        </w:r>
      </w:hyperlink>
      <w:r>
        <w:rPr>
          <w:lang w:val="pt_PT" w:bidi="pt_PT"/>
        </w:rPr>
        <w:t>.</w:t>
      </w:r>
    </w:p>
    <w:p>
      <w:pPr/>
      <w:r>
        <w:rPr>
          <w:lang w:val="pt_PT" w:bidi="pt_PT"/>
        </w:rPr>
      </w:r>
      <w:r>
        <w:rPr>
          <w:lang w:val="pt_PT" w:bidi="pt_PT"/>
        </w:rPr>
        <w:t xml:space="preserve">Esta primeira carta foi enviada às igrejas sob os cuidados de João (incluindo as igrejas mencionadas em </w:t>
      </w:r>
      <w:hyperlink r:id="rId16">
        <w:r>
          <w:rPr>
            <w:lang w:val="pt_PT" w:bidi="pt_PT"/>
          </w:rPr>
          <w:rPr>
            <w:color w:val="0000EE"/>
            <w:u w:val="single"/>
          </w:rPr>
          <w:t>Apocalipse 1.11</w:t>
        </w:r>
      </w:hyperlink>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hyperlink r:id="rId17">
        <w:r>
          <w:rPr>
            <w:lang w:val="pt_PT" w:bidi="pt_PT"/>
          </w:rPr>
          <w:rPr>
            <w:color w:val="0000EE"/>
            <w:u w:val="single"/>
          </w:rPr>
          <w:t>2Jo 1.1</w:t>
        </w:r>
      </w:hyperlink>
      <w:r>
        <w:rPr>
          <w:lang w:val="pt_PT" w:bidi="pt_PT"/>
        </w:rPr>
        <w:t xml:space="preserve">; </w:t>
      </w:r>
      <w:hyperlink r:id="rId18">
        <w:r>
          <w:rPr>
            <w:lang w:val="pt_PT" w:bidi="pt_PT"/>
          </w:rPr>
          <w:rPr>
            <w:color w:val="0000EE"/>
            <w:u w:val="single"/>
          </w:rPr>
          <w:t>3Jo 1.1</w:t>
        </w:r>
      </w:hyperlink>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19">
        <w:r>
          <w:rPr>
            <w:lang w:val="pt_PT" w:bidi="pt_PT"/>
          </w:rPr>
          <w:rPr>
            <w:color w:val="0000EE"/>
            <w:u w:val="single"/>
          </w:rPr>
          <w:t>Jo 13.23</w:t>
        </w:r>
      </w:hyperlink>
      <w:r>
        <w:rPr>
          <w:lang w:val="pt_PT" w:bidi="pt_PT"/>
        </w:rPr>
        <w:t xml:space="preserve">; </w:t>
      </w:r>
      <w:hyperlink r:id="rId20">
        <w:r>
          <w:rPr>
            <w:lang w:val="pt_PT" w:bidi="pt_PT"/>
          </w:rPr>
          <w:rPr>
            <w:color w:val="0000EE"/>
            <w:u w:val="single"/>
          </w:rPr>
          <w:t>19.26</w:t>
        </w:r>
      </w:hyperlink>
      <w:r>
        <w:rPr>
          <w:lang w:val="pt_PT" w:bidi="pt_PT"/>
        </w:rPr>
        <w:t xml:space="preserve">; </w:t>
      </w:r>
      <w:hyperlink r:id="rId21">
        <w:r>
          <w:rPr>
            <w:lang w:val="pt_PT" w:bidi="pt_PT"/>
          </w:rPr>
          <w:rPr>
            <w:color w:val="0000EE"/>
            <w:u w:val="single"/>
          </w:rPr>
          <w:t>20.2</w:t>
        </w:r>
      </w:hyperlink>
      <w:r>
        <w:rPr>
          <w:lang w:val="pt_PT" w:bidi="pt_PT"/>
        </w:rPr>
        <w:t xml:space="preserve">; </w:t>
      </w:r>
      <w:hyperlink r:id="rId22">
        <w:r>
          <w:rPr>
            <w:lang w:val="pt_PT" w:bidi="pt_PT"/>
          </w:rPr>
          <w:rPr>
            <w:color w:val="0000EE"/>
            <w:u w:val="single"/>
          </w:rPr>
          <w:t>21.7</w:t>
        </w:r>
      </w:hyperlink>
      <w:r>
        <w:rPr>
          <w:lang w:val="pt_PT" w:bidi="pt_PT"/>
        </w:rPr>
        <w:t xml:space="preserve">, </w:t>
      </w:r>
      <w:hyperlink r:id="rId23">
        <w:r>
          <w:rPr>
            <w:lang w:val="pt_PT" w:bidi="pt_PT"/>
          </w:rPr>
          <w:rPr>
            <w:color w:val="0000EE"/>
            <w:u w:val="single"/>
          </w:rPr>
          <w:t>20</w:t>
        </w:r>
      </w:hyperlink>
      <w:r>
        <w:rPr>
          <w:lang w:val="pt_PT" w:bidi="pt_PT"/>
        </w:rPr>
        <w:t xml:space="preserve">). Ele foi um dos doze discípulos e um amigo muito próximo de Jesus. A afirmação do autor de ser uma testemunha ocular é tão forte nas cartas (veja </w:t>
      </w:r>
      <w:hyperlink r:id="rId24">
        <w:r>
          <w:rPr>
            <w:lang w:val="pt_PT" w:bidi="pt_PT"/>
          </w:rPr>
          <w:rPr>
            <w:color w:val="0000EE"/>
            <w:u w:val="single"/>
          </w:rPr>
          <w:t>1 João 1.1–4</w:t>
        </w:r>
      </w:hyperlink>
      <w:r>
        <w:rPr>
          <w:lang w:val="pt_PT" w:bidi="pt_PT"/>
        </w:rPr>
        <w:t>) quanto no Evangelho (</w:t>
      </w:r>
      <w:hyperlink r:id="rId25">
        <w:r>
          <w:rPr>
            <w:lang w:val="pt_PT" w:bidi="pt_PT"/>
          </w:rPr>
          <w:rPr>
            <w:color w:val="0000EE"/>
            <w:u w:val="single"/>
          </w:rPr>
          <w:t>João 1.14</w:t>
        </w:r>
      </w:hyperlink>
      <w:r>
        <w:rPr>
          <w:lang w:val="pt_PT" w:bidi="pt_PT"/>
        </w:rPr>
        <w:t xml:space="preserve">; </w:t>
      </w:r>
      <w:hyperlink r:id="rId26">
        <w:r>
          <w:rPr>
            <w:lang w:val="pt_PT" w:bidi="pt_PT"/>
          </w:rPr>
          <w:rPr>
            <w:color w:val="0000EE"/>
            <w:u w:val="single"/>
          </w:rPr>
          <w:t>19.35</w:t>
        </w:r>
      </w:hyperlink>
      <w:r>
        <w:rPr>
          <w:lang w:val="pt_PT" w:bidi="pt_PT"/>
        </w:rPr>
        <w:t>). O autor de 1 João afirma ter pessoalmente ouvido, visto e tocado o Verbo eterno feito carne (</w:t>
      </w:r>
      <w:hyperlink r:id="rId24">
        <w:r>
          <w:rPr>
            <w:lang w:val="pt_PT" w:bidi="pt_PT"/>
          </w:rPr>
          <w:rPr>
            <w:color w:val="0000EE"/>
            <w:u w:val="single"/>
          </w:rPr>
          <w:t>1Jo 1.1–4</w:t>
        </w:r>
      </w:hyperlink>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7">
        <w:r>
          <w:rPr>
            <w:lang w:val="pt_PT" w:bidi="pt_PT"/>
          </w:rPr>
          <w:rPr>
            <w:color w:val="0000EE"/>
            <w:u w:val="single"/>
          </w:rPr>
          <w:t>Jo 13.34</w:t>
        </w:r>
      </w:hyperlink>
      <w:r>
        <w:rPr>
          <w:lang w:val="pt_PT" w:bidi="pt_PT"/>
        </w:rPr>
        <w:t xml:space="preserve">; </w:t>
      </w:r>
      <w:hyperlink r:id="rId28">
        <w:r>
          <w:rPr>
            <w:lang w:val="pt_PT" w:bidi="pt_PT"/>
          </w:rPr>
          <w:rPr>
            <w:color w:val="0000EE"/>
            <w:u w:val="single"/>
          </w:rPr>
          <w:t>15.17</w:t>
        </w:r>
      </w:hyperlink>
      <w:r>
        <w:rPr>
          <w:lang w:val="pt_PT" w:bidi="pt_PT"/>
        </w:rPr>
        <w:t>), e João o repete frequentemente (</w:t>
      </w:r>
      <w:hyperlink r:id="rId29">
        <w:r>
          <w:rPr>
            <w:lang w:val="pt_PT" w:bidi="pt_PT"/>
          </w:rPr>
          <w:rPr>
            <w:color w:val="0000EE"/>
            <w:u w:val="single"/>
          </w:rPr>
          <w:t>1Jo 2.7</w:t>
        </w:r>
      </w:hyperlink>
      <w:r>
        <w:rPr>
          <w:lang w:val="pt_PT" w:bidi="pt_PT"/>
        </w:rPr>
        <w:t xml:space="preserve">; </w:t>
      </w:r>
      <w:hyperlink r:id="rId30">
        <w:r>
          <w:rPr>
            <w:lang w:val="pt_PT" w:bidi="pt_PT"/>
          </w:rPr>
          <w:rPr>
            <w:color w:val="0000EE"/>
            <w:u w:val="single"/>
          </w:rPr>
          <w:t>3.11</w:t>
        </w:r>
      </w:hyperlink>
      <w:r>
        <w:rPr>
          <w:lang w:val="pt_PT" w:bidi="pt_PT"/>
        </w:rPr>
        <w:t>,</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2Jo 1.5–6</w:t>
        </w:r>
      </w:hyperlink>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