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i/>
          <w:lang w:val="es_ES" w:bidi="es_ES"/>
        </w:rPr>
        <w:t>2 Crónicas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hyperlink r:id="rId13">
        <w:r>
          <w:rPr>
            <w:lang w:val="es_ES" w:bidi="es_ES"/>
          </w:rPr>
          <w:rPr>
            <w:color w:val="0000EE"/>
            <w:u w:val="single"/>
          </w:rPr>
          <w:t>2 Cro 20:20</w:t>
        </w:r>
      </w:hyperlink>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4">
        <w:r>
          <w:rPr>
            <w:lang w:val="es_ES" w:bidi="es_ES"/>
          </w:rPr>
          <w:rPr>
            <w:color w:val="0000EE"/>
            <w:u w:val="single"/>
          </w:rPr>
          <w:t>6:1–7:22</w:t>
        </w:r>
      </w:hyperlink>
      <w:r>
        <w:rPr>
          <w:lang w:val="es_ES" w:bidi="es_ES"/>
        </w:rPr>
        <w:t>). Dios respondió a la oración de Salomón en una visión que expresó la perspectiva teológica del cronista (</w:t>
      </w:r>
      <w:hyperlink r:id="rId15">
        <w:r>
          <w:rPr>
            <w:lang w:val="es_ES" w:bidi="es_ES"/>
          </w:rPr>
          <w:rPr>
            <w:color w:val="0000EE"/>
            <w:u w:val="single"/>
          </w:rPr>
          <w:t>7:12–22</w:t>
        </w:r>
      </w:hyperlink>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6">
        <w:r>
          <w:rPr>
            <w:lang w:val="es_ES" w:bidi="es_ES"/>
          </w:rPr>
          <w:rPr>
            <w:color w:val="0000EE"/>
            <w:u w:val="single"/>
          </w:rPr>
          <w:t>28:5–15</w:t>
        </w:r>
      </w:hyperlink>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hyperlink r:id="rId17">
        <w:r>
          <w:rPr>
            <w:lang w:val="es_ES" w:bidi="es_ES"/>
          </w:rPr>
          <w:rPr>
            <w:color w:val="0000EE"/>
            <w:u w:val="single"/>
          </w:rPr>
          <w:t>2 Re 15:1–7</w:t>
        </w:r>
      </w:hyperlink>
      <w:r>
        <w:rPr>
          <w:lang w:val="es_ES" w:bidi="es_ES"/>
        </w:rPr>
        <w:t>), aunque fue un rey poderoso que gobernó durante más de cincuenta años. En Crónicas, Uzías es reconocido como un famoso reformador y constructor. Asimismo, aunque se dice poco sobre Jotam en Reyes (</w:t>
      </w:r>
      <w:hyperlink r:id="rId18">
        <w:r>
          <w:rPr>
            <w:lang w:val="es_ES" w:bidi="es_ES"/>
          </w:rPr>
          <w:rPr>
            <w:color w:val="0000EE"/>
            <w:u w:val="single"/>
          </w:rPr>
          <w:t>2 Re 15:32–38</w:t>
        </w:r>
      </w:hyperlink>
      <w:r>
        <w:rPr>
          <w:lang w:val="es_ES" w:bidi="es_ES"/>
        </w:rPr>
        <w:t>), en Crónicas su obra se describe como extensa (</w:t>
      </w:r>
      <w:hyperlink r:id="rId19">
        <w:r>
          <w:rPr>
            <w:lang w:val="es_ES" w:bidi="es_ES"/>
          </w:rPr>
          <w:rPr>
            <w:color w:val="0000EE"/>
            <w:u w:val="single"/>
          </w:rPr>
          <w:t>2 Cro 27:3–4</w:t>
        </w:r>
      </w:hyperlink>
      <w:r>
        <w:rPr>
          <w:lang w:val="es_ES" w:bidi="es_ES"/>
        </w:rPr>
        <w:t>). El cronista también amplía nuestra comprensión sobre Ezequías (</w:t>
      </w:r>
      <w:hyperlink r:id="rId20">
        <w:r>
          <w:rPr>
            <w:lang w:val="es_ES" w:bidi="es_ES"/>
          </w:rPr>
          <w:rPr>
            <w:color w:val="0000EE"/>
            <w:u w:val="single"/>
          </w:rPr>
          <w:t>29:1–32:33</w:t>
        </w:r>
      </w:hyperlink>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hyperlink r:id="rId21">
        <w:r>
          <w:rPr>
            <w:lang w:val="es_ES" w:bidi="es_ES"/>
          </w:rPr>
          <w:rPr>
            <w:color w:val="0000EE"/>
            <w:u w:val="single"/>
          </w:rPr>
          <w:t>33:1–25</w:t>
        </w:r>
      </w:hyperlink>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hyperlink r:id="rId22">
        <w:r>
          <w:rPr>
            <w:lang w:val="es_ES" w:bidi="es_ES"/>
          </w:rPr>
          <w:rPr>
            <w:color w:val="0000EE"/>
            <w:u w:val="single"/>
          </w:rPr>
          <w:t>34:1–35:27</w:t>
        </w:r>
      </w:hyperlink>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3">
        <w:r>
          <w:rPr>
            <w:lang w:val="es_ES" w:bidi="es_ES"/>
          </w:rPr>
          <w:rPr>
            <w:color w:val="0000EE"/>
            <w:u w:val="single"/>
          </w:rPr>
          <w:t>36:2–21</w:t>
        </w:r>
      </w:hyperlink>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hyperlink r:id="rId24">
        <w:r>
          <w:rPr>
            <w:lang w:val="es_ES" w:bidi="es_ES"/>
          </w:rPr>
          <w:rPr>
            <w:color w:val="0000EE"/>
            <w:u w:val="single"/>
          </w:rPr>
          <w:t>36:22–23</w:t>
        </w:r>
      </w:hyperlink>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hyperlink r:id="rId25">
        <w:r>
          <w:rPr>
            <w:lang w:val="es_ES" w:bidi="es_ES"/>
          </w:rPr>
          <w:rPr>
            <w:color w:val="0000EE"/>
            <w:u w:val="single"/>
          </w:rPr>
          <w:t>7:8</w:t>
        </w:r>
      </w:hyperlink>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hyperlink r:id="rId26">
        <w:r>
          <w:rPr>
            <w:lang w:val="es_ES" w:bidi="es_ES"/>
          </w:rPr>
          <w:rPr>
            <w:color w:val="0000EE"/>
            <w:u w:val="single"/>
          </w:rPr>
          <w:t>3:1,</w:t>
        </w:r>
      </w:hyperlink>
      <w:r>
        <w:rPr>
          <w:lang w:val="es_ES" w:bidi="es_ES"/>
        </w:rPr>
        <w:t xml:space="preserve"> </w:t>
      </w:r>
      <w:hyperlink r:id="rId27">
        <w:r>
          <w:rPr>
            <w:lang w:val="es_ES" w:bidi="es_ES"/>
          </w:rPr>
          <w:rPr>
            <w:color w:val="0000EE"/>
            <w:u w:val="single"/>
          </w:rPr>
          <w:t>5:1,</w:t>
        </w:r>
      </w:hyperlink>
      <w:r>
        <w:rPr>
          <w:lang w:val="es_ES" w:bidi="es_ES"/>
        </w:rPr>
        <w:t xml:space="preserve"> </w:t>
      </w:r>
      <w:hyperlink r:id="rId28">
        <w:r>
          <w:rPr>
            <w:lang w:val="es_ES" w:bidi="es_ES"/>
          </w:rPr>
          <w:rPr>
            <w:color w:val="0000EE"/>
            <w:u w:val="single"/>
          </w:rPr>
          <w:t>7:1</w:t>
        </w:r>
      </w:hyperlink>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29">
        <w:r>
          <w:rPr>
            <w:lang w:val="es_ES" w:bidi="es_ES"/>
          </w:rPr>
          <w:rPr>
            <w:color w:val="0000EE"/>
            <w:u w:val="single"/>
          </w:rPr>
          <w:t>13:6–7</w:t>
        </w:r>
      </w:hyperlink>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hyperlink r:id="rId30">
        <w:r>
          <w:rPr>
            <w:lang w:val="es_ES" w:bidi="es_ES"/>
          </w:rPr>
          <w:rPr>
            <w:color w:val="0000EE"/>
            <w:u w:val="single"/>
          </w:rPr>
          <w:t>28:2</w:t>
        </w:r>
      </w:hyperlink>
      <w:r>
        <w:rPr>
          <w:lang w:val="es_ES" w:bidi="es_ES"/>
        </w:rPr>
        <w:t>,</w:t>
      </w:r>
      <w:hyperlink r:id="rId31">
        <w:r>
          <w:rPr>
            <w:lang w:val="es_ES" w:bidi="es_ES"/>
          </w:rPr>
          <w:rPr>
            <w:color w:val="0000EE"/>
            <w:u w:val="single"/>
          </w:rPr>
          <w:t>6</w:t>
        </w:r>
      </w:hyperlink>
      <w:r>
        <w:rPr>
          <w:lang w:val="es_ES" w:bidi="es_ES"/>
        </w:rPr>
        <w:t>), mientras que los líderes de Israel confesaron sus pecados (</w:t>
      </w:r>
      <w:hyperlink r:id="rId32">
        <w:r>
          <w:rPr>
            <w:lang w:val="es_ES" w:bidi="es_ES"/>
          </w:rPr>
          <w:rPr>
            <w:color w:val="0000EE"/>
            <w:u w:val="single"/>
          </w:rPr>
          <w:t>28:13</w:t>
        </w:r>
      </w:hyperlink>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hyperlink r:id="rId33">
        <w:r>
          <w:rPr>
            <w:lang w:val="es_ES" w:bidi="es_ES"/>
          </w:rPr>
          <w:rPr>
            <w:color w:val="0000EE"/>
            <w:u w:val="single"/>
          </w:rPr>
          <w:t>30:11</w:t>
        </w:r>
      </w:hyperlink>
      <w:r>
        <w:rPr>
          <w:lang w:val="es_ES" w:bidi="es_ES"/>
        </w:rPr>
        <w:t>); una celebración similar no se había realizado desde la época de Salomón (</w:t>
      </w:r>
      <w:hyperlink r:id="rId34">
        <w:r>
          <w:rPr>
            <w:lang w:val="es_ES" w:bidi="es_ES"/>
          </w:rPr>
          <w:rPr>
            <w:color w:val="0000EE"/>
            <w:u w:val="single"/>
          </w:rPr>
          <w:t>30:26</w:t>
        </w:r>
      </w:hyperlink>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