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2"/>
      </w:pPr>
      <w:r>
        <w:rPr>
          <w:lang w:val="es_ES" w:bidi="es_ES"/>
        </w:rPr>
        <w:t>Contexto</w:t>
      </w:r>
    </w:p>
    <w:p>
      <w:pPr/>
      <w:r>
        <w:rPr>
          <w:lang w:val="es_ES" w:bidi="es_ES"/>
        </w:rPr>
      </w:r>
      <w:r>
        <w:rPr>
          <w:lang w:val="es_ES" w:bidi="es_ES"/>
        </w:rP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pPr/>
      <w:r>
        <w:rPr>
          <w:lang w:val="es_ES" w:bidi="es_ES"/>
        </w:rPr>
      </w:r>
      <w:r>
        <w:rPr>
          <w:lang w:val="es_ES" w:bidi="es_ES"/>
        </w:rPr>
        <w:t>Mientras el rey Uzías de Judá aún vivía, Judá pudo ignorar la crisis. En general, Uzías fue un rey bueno y eficaz, tenía un ejército fuerte (</w:t>
      </w:r>
      <w:hyperlink r:id="rId13">
        <w:r>
          <w:rPr>
            <w:lang w:val="es_ES" w:bidi="es_ES"/>
          </w:rPr>
          <w:rPr>
            <w:color w:val="0000EE"/>
            <w:u w:val="single"/>
          </w:rPr>
          <w:t>2 Cro 26:11–15</w:t>
        </w:r>
      </w:hyperlink>
      <w:r>
        <w:rPr>
          <w:lang w:val="es_ES" w:bidi="es_ES"/>
        </w:rP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hyperlink r:id="rId14">
        <w:r>
          <w:rPr>
            <w:lang w:val="es_ES" w:bidi="es_ES"/>
          </w:rPr>
          <w:rPr>
            <w:color w:val="0000EE"/>
            <w:u w:val="single"/>
          </w:rPr>
          <w:t>Is 6</w:t>
        </w:r>
      </w:hyperlink>
      <w:r>
        <w:rPr>
          <w:lang w:val="es_ES" w:bidi="es_ES"/>
        </w:rPr>
        <w:t>).</w:t>
      </w:r>
    </w:p>
    <w:p>
      <w:pPr/>
      <w:r>
        <w:rPr>
          <w:lang w:val="es_ES" w:bidi="es_ES"/>
        </w:rPr>
      </w:r>
      <w:r>
        <w:rPr>
          <w:lang w:val="es_ES" w:bidi="es_ES"/>
        </w:rP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pPr/>
      <w:r>
        <w:rPr>
          <w:lang w:val="es_ES" w:bidi="es_ES"/>
        </w:rPr>
      </w:r>
      <w:r>
        <w:rPr>
          <w:lang w:val="es_ES" w:bidi="es_ES"/>
        </w:rP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hyperlink r:id="rId15">
        <w:r>
          <w:rPr>
            <w:lang w:val="es_ES" w:bidi="es_ES"/>
          </w:rPr>
          <w:rPr>
            <w:color w:val="0000EE"/>
            <w:u w:val="single"/>
          </w:rPr>
          <w:t>2 Cro 28:16–21</w:t>
        </w:r>
      </w:hyperlink>
      <w:r>
        <w:rPr>
          <w:lang w:val="es_ES" w:bidi="es_ES"/>
        </w:rPr>
        <w:t>) en lugar de confiar en Dios (</w:t>
      </w:r>
      <w:hyperlink r:id="rId16">
        <w:r>
          <w:rPr>
            <w:lang w:val="es_ES" w:bidi="es_ES"/>
          </w:rPr>
          <w:rPr>
            <w:color w:val="0000EE"/>
            <w:u w:val="single"/>
          </w:rPr>
          <w:t>Is 7:1–12</w:t>
        </w:r>
      </w:hyperlink>
      <w:r>
        <w:rPr>
          <w:lang w:val="es_ES" w:bidi="es_ES"/>
        </w:rPr>
        <w:t>). Aunque el rey de Asiria derrotó a Siria e Israel, también subyugó a Judá y le impuso una gran carga de impuestos. Solo unos pocos años después (722 a.C.), Asiria derrotó nuevamente al reino de Israel y envió a la mayoría de su gente al exilio (</w:t>
      </w:r>
      <w:hyperlink r:id="rId17">
        <w:r>
          <w:rPr>
            <w:lang w:val="es_ES" w:bidi="es_ES"/>
          </w:rPr>
          <w:rPr>
            <w:color w:val="0000EE"/>
            <w:u w:val="single"/>
          </w:rPr>
          <w:t>2 Re 17:5–18</w:t>
        </w:r>
      </w:hyperlink>
      <w:r>
        <w:rPr>
          <w:lang w:val="es_ES" w:bidi="es_ES"/>
        </w:rPr>
        <w:t>).</w:t>
      </w:r>
    </w:p>
    <w:p>
      <w:pPr/>
      <w:r>
        <w:rPr>
          <w:lang w:val="es_ES" w:bidi="es_ES"/>
        </w:rPr>
      </w:r>
      <w:r>
        <w:rPr>
          <w:lang w:val="es_ES" w:bidi="es_ES"/>
        </w:rPr>
        <w:t>En 701 a.C., durante el reinado del rey Ezequías, Asiria invadió nuevamente Judá. Esta vez, Judá confió en la fidelidad de Dios, y como prometido, Dios rescató a la nación del ejército asirio (</w:t>
      </w:r>
      <w:hyperlink r:id="rId18">
        <w:r>
          <w:rPr>
            <w:lang w:val="es_ES" w:bidi="es_ES"/>
          </w:rPr>
          <w:rPr>
            <w:color w:val="0000EE"/>
            <w:u w:val="single"/>
          </w:rPr>
          <w:t>37:21–36</w:t>
        </w:r>
      </w:hyperlink>
      <w:r>
        <w:rPr>
          <w:lang w:val="es_ES" w:bidi="es_ES"/>
        </w:rPr>
        <w:t>).</w:t>
      </w:r>
    </w:p>
    <w:p>
      <w:pPr/>
      <w:r>
        <w:rPr>
          <w:lang w:val="es_ES" w:bidi="es_ES"/>
        </w:rPr>
      </w:r>
      <w:r>
        <w:rPr>
          <w:lang w:val="es_ES" w:bidi="es_ES"/>
        </w:rP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pPr/>
      <w:r>
        <w:rPr>
          <w:lang w:val="es_ES" w:bidi="es_ES"/>
        </w:rPr>
      </w:r>
      <w:r>
        <w:rPr>
          <w:lang w:val="es_ES" w:bidi="es_ES"/>
        </w:rPr>
        <w:t xml:space="preserve">Al regresar del exilio (538 a.C.; ver </w:t>
      </w:r>
      <w:hyperlink r:id="rId19">
        <w:r>
          <w:rPr>
            <w:lang w:val="es_ES" w:bidi="es_ES"/>
          </w:rPr>
          <w:rPr>
            <w:color w:val="0000EE"/>
            <w:u w:val="single"/>
          </w:rPr>
          <w:t>Esd 1:1–4</w:t>
        </w:r>
      </w:hyperlink>
      <w:r>
        <w:rPr>
          <w:lang w:val="es_ES" w:bidi="es_ES"/>
        </w:rP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2"/>
      </w:pPr>
      <w:r>
        <w:rPr>
          <w:lang w:val="es_ES" w:bidi="es_ES"/>
        </w:rPr>
        <w:t>Resumen</w:t>
      </w:r>
    </w:p>
    <w:p>
      <w:pPr/>
      <w:r>
        <w:rPr>
          <w:lang w:val="es_ES" w:bidi="es_ES"/>
        </w:rPr>
      </w:r>
      <w:hyperlink r:id="rId20">
        <w:r>
          <w:rPr>
            <w:lang w:val="es_ES" w:bidi="es_ES"/>
          </w:rPr>
          <w:rPr>
            <w:color w:val="0000EE"/>
            <w:u w:val="single"/>
          </w:rPr>
          <w:t>Isaías 1–39</w:t>
        </w:r>
      </w:hyperlink>
      <w:r>
        <w:rPr>
          <w:lang w:val="es_ES" w:bidi="es_ES"/>
        </w:rPr>
        <w:t xml:space="preserve"> cubre el período desde la muerte de Uzías (740 a.C.) hasta 701 a.C. La introducción (</w:t>
      </w:r>
      <w:hyperlink r:id="rId21">
        <w:r>
          <w:rPr>
            <w:lang w:val="es_ES" w:bidi="es_ES"/>
          </w:rPr>
          <w:rPr>
            <w:color w:val="0000EE"/>
            <w:u w:val="single"/>
          </w:rPr>
          <w:t>caps. 1–5</w:t>
        </w:r>
      </w:hyperlink>
      <w:r>
        <w:rPr>
          <w:lang w:val="es_ES" w:bidi="es_ES"/>
        </w:rP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hyperlink r:id="rId14">
        <w:r>
          <w:rPr>
            <w:lang w:val="es_ES" w:bidi="es_ES"/>
          </w:rPr>
          <w:rPr>
            <w:color w:val="0000EE"/>
            <w:u w:val="single"/>
          </w:rPr>
          <w:t>el capítulo 6</w:t>
        </w:r>
      </w:hyperlink>
      <w:r>
        <w:rPr>
          <w:lang w:val="es_ES" w:bidi="es_ES"/>
        </w:rP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hyperlink r:id="rId22">
        <w:r>
          <w:rPr>
            <w:lang w:val="es_ES" w:bidi="es_ES"/>
          </w:rPr>
          <w:rPr>
            <w:color w:val="0000EE"/>
            <w:u w:val="single"/>
          </w:rPr>
          <w:t>los capítulos 13–35</w:t>
        </w:r>
      </w:hyperlink>
      <w:r>
        <w:rPr>
          <w:lang w:val="es_ES" w:bidi="es_ES"/>
        </w:rP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hyperlink r:id="rId23">
        <w:r>
          <w:rPr>
            <w:lang w:val="es_ES" w:bidi="es_ES"/>
          </w:rPr>
          <w:rPr>
            <w:color w:val="0000EE"/>
            <w:u w:val="single"/>
          </w:rPr>
          <w:t>los capítulos 7–12</w:t>
        </w:r>
      </w:hyperlink>
      <w:r>
        <w:rPr>
          <w:lang w:val="es_ES" w:bidi="es_ES"/>
        </w:rPr>
        <w:t xml:space="preserve">, y la del rey Ezequías en </w:t>
      </w:r>
      <w:hyperlink r:id="rId24">
        <w:r>
          <w:rPr>
            <w:lang w:val="es_ES" w:bidi="es_ES"/>
          </w:rPr>
          <w:rPr>
            <w:color w:val="0000EE"/>
            <w:u w:val="single"/>
          </w:rPr>
          <w:t>los capítulos 36–39</w:t>
        </w:r>
      </w:hyperlink>
      <w:r>
        <w:rPr>
          <w:lang w:val="es_ES" w:bidi="es_ES"/>
        </w:rPr>
        <w:t>. Cuando Acaz no confió en Dios, resultó en un desastre. En cambio, su hijo Ezequías confió en Dios, y ocurrió un gran rescate. Ezequías, sin embargo, también tuvo momentos de debilidad (</w:t>
      </w:r>
      <w:hyperlink r:id="rId25">
        <w:r>
          <w:rPr>
            <w:lang w:val="es_ES" w:bidi="es_ES"/>
          </w:rPr>
          <w:rPr>
            <w:color w:val="0000EE"/>
            <w:u w:val="single"/>
          </w:rPr>
          <w:t>cap 39</w:t>
        </w:r>
      </w:hyperlink>
      <w:r>
        <w:rPr>
          <w:lang w:val="es_ES" w:bidi="es_ES"/>
        </w:rPr>
        <w:t>), preparando el escenario para la posterior derrota y exilio de Judá por Babilonia.</w:t>
      </w:r>
    </w:p>
    <w:p>
      <w:pPr/>
      <w:r>
        <w:rPr>
          <w:lang w:val="es_ES" w:bidi="es_ES"/>
        </w:rPr>
      </w:r>
      <w:hyperlink r:id="rId26">
        <w:r>
          <w:rPr>
            <w:lang w:val="es_ES" w:bidi="es_ES"/>
          </w:rPr>
          <w:rPr>
            <w:color w:val="0000EE"/>
            <w:u w:val="single"/>
          </w:rPr>
          <w:t>Isaías 40–55</w:t>
        </w:r>
      </w:hyperlink>
      <w:r>
        <w:rPr>
          <w:lang w:val="es_ES" w:bidi="es_ES"/>
        </w:rP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hyperlink r:id="rId27">
        <w:r>
          <w:rPr>
            <w:lang w:val="es_ES" w:bidi="es_ES"/>
          </w:rPr>
          <w:rPr>
            <w:color w:val="0000EE"/>
            <w:u w:val="single"/>
          </w:rPr>
          <w:t>los capítulos 40–48</w:t>
        </w:r>
      </w:hyperlink>
      <w:r>
        <w:rPr>
          <w:lang w:val="es_ES" w:bidi="es_ES"/>
        </w:rPr>
        <w:t xml:space="preserve">, Isaías muestra que Dios es infinitamente superior a cualquier ídolo-dios, y su pueblo será la prueba de esto cuando Dios los rescate de las manos impotentes de Babilonia. En </w:t>
      </w:r>
      <w:hyperlink r:id="rId28">
        <w:r>
          <w:rPr>
            <w:lang w:val="es_ES" w:bidi="es_ES"/>
          </w:rPr>
          <w:rPr>
            <w:color w:val="0000EE"/>
            <w:u w:val="single"/>
          </w:rPr>
          <w:t>los capítulos 49–55</w:t>
        </w:r>
      </w:hyperlink>
      <w:r>
        <w:rPr>
          <w:lang w:val="es_ES" w:bidi="es_ES"/>
        </w:rPr>
        <w:t>, el profeta aborda la cuestión más profunda del pecado de Judá. Así como Dios rescató a Judá de Babilonia, también tiene la intención de rescatar un remanente del pueblo del poder esclavizante del pecado; logrará esto a través de la muerte de su siervo.</w:t>
      </w:r>
    </w:p>
    <w:p>
      <w:pPr/>
      <w:r>
        <w:rPr>
          <w:lang w:val="es_ES" w:bidi="es_ES"/>
        </w:rPr>
      </w:r>
      <w:hyperlink r:id="rId29">
        <w:r>
          <w:rPr>
            <w:lang w:val="es_ES" w:bidi="es_ES"/>
          </w:rPr>
          <w:rPr>
            <w:color w:val="0000EE"/>
            <w:u w:val="single"/>
          </w:rPr>
          <w:t>Isaías 56–66</w:t>
        </w:r>
      </w:hyperlink>
      <w:r>
        <w:rPr>
          <w:lang w:val="es_ES" w:bidi="es_ES"/>
        </w:rP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2"/>
      </w:pPr>
      <w:r>
        <w:rPr>
          <w:lang w:val="es_ES" w:bidi="es_ES"/>
        </w:rPr>
        <w:t>Autoría</w:t>
      </w:r>
    </w:p>
    <w:p>
      <w:pPr/>
      <w:r>
        <w:rPr>
          <w:lang w:val="es_ES" w:bidi="es_ES"/>
        </w:rPr>
      </w:r>
      <w:r>
        <w:rPr>
          <w:lang w:val="es_ES" w:bidi="es_ES"/>
        </w:rP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hyperlink r:id="rId30">
        <w:r>
          <w:rPr>
            <w:lang w:val="es_ES" w:bidi="es_ES"/>
          </w:rPr>
          <w:rPr>
            <w:color w:val="0000EE"/>
            <w:u w:val="single"/>
          </w:rPr>
          <w:t>Mt 8:17,</w:t>
        </w:r>
      </w:hyperlink>
      <w:r>
        <w:rPr>
          <w:lang w:val="es_ES" w:bidi="es_ES"/>
        </w:rPr>
        <w:t xml:space="preserve"> </w:t>
      </w:r>
      <w:hyperlink r:id="rId31">
        <w:r>
          <w:rPr>
            <w:lang w:val="es_ES" w:bidi="es_ES"/>
          </w:rPr>
          <w:rPr>
            <w:color w:val="0000EE"/>
            <w:u w:val="single"/>
          </w:rPr>
          <w:t>12:17–21</w:t>
        </w:r>
      </w:hyperlink>
      <w:r>
        <w:rPr>
          <w:lang w:val="es_ES" w:bidi="es_ES"/>
        </w:rPr>
        <w:t xml:space="preserve">, </w:t>
      </w:r>
      <w:hyperlink r:id="rId32">
        <w:r>
          <w:rPr>
            <w:lang w:val="es_ES" w:bidi="es_ES"/>
          </w:rPr>
          <w:rPr>
            <w:color w:val="0000EE"/>
            <w:u w:val="single"/>
          </w:rPr>
          <w:t>Lc 3:4–6,</w:t>
        </w:r>
      </w:hyperlink>
      <w:r>
        <w:rPr>
          <w:lang w:val="es_ES" w:bidi="es_ES"/>
        </w:rPr>
        <w:t xml:space="preserve"> </w:t>
      </w:r>
      <w:hyperlink r:id="rId33">
        <w:r>
          <w:rPr>
            <w:lang w:val="es_ES" w:bidi="es_ES"/>
          </w:rPr>
          <w:rPr>
            <w:color w:val="0000EE"/>
            <w:u w:val="single"/>
          </w:rPr>
          <w:t>Hc 8:28–35,</w:t>
        </w:r>
      </w:hyperlink>
      <w:r>
        <w:rPr>
          <w:lang w:val="es_ES" w:bidi="es_ES"/>
        </w:rPr>
        <w:t xml:space="preserve"> </w:t>
      </w:r>
      <w:hyperlink r:id="rId34">
        <w:r>
          <w:rPr>
            <w:lang w:val="es_ES" w:bidi="es_ES"/>
          </w:rPr>
          <w:rPr>
            <w:color w:val="0000EE"/>
            <w:u w:val="single"/>
          </w:rPr>
          <w:t>Ro 10:16</w:t>
        </w:r>
      </w:hyperlink>
      <w:r>
        <w:rPr>
          <w:lang w:val="es_ES" w:bidi="es_ES"/>
        </w:rPr>
        <w:t>).</w:t>
      </w:r>
    </w:p>
    <w:p>
      <w:pPr>
        <w:pStyle w:val="Heading2"/>
      </w:pPr>
      <w:r>
        <w:rPr>
          <w:lang w:val="es_ES" w:bidi="es_ES"/>
        </w:rPr>
        <w:t>Fecha de escritura</w:t>
      </w:r>
    </w:p>
    <w:p>
      <w:pPr/>
      <w:r>
        <w:rPr>
          <w:lang w:val="es_ES" w:bidi="es_ES"/>
        </w:rPr>
      </w:r>
      <w:r>
        <w:rPr>
          <w:lang w:val="es_ES" w:bidi="es_ES"/>
        </w:rPr>
        <w:t xml:space="preserve">Parece probable por las referencias históricas en </w:t>
      </w:r>
      <w:hyperlink r:id="rId35">
        <w:r>
          <w:rPr>
            <w:lang w:val="es_ES" w:bidi="es_ES"/>
          </w:rPr>
          <w:rPr>
            <w:color w:val="0000EE"/>
            <w:u w:val="single"/>
          </w:rPr>
          <w:t>capítulos 6–39</w:t>
        </w:r>
      </w:hyperlink>
      <w:r>
        <w:rPr>
          <w:lang w:val="es_ES" w:bidi="es_ES"/>
        </w:rPr>
        <w:t xml:space="preserve"> que estos materiales fueron registrados en varios momentos a lo largo de los treinta y ocho años entre la muerte de Uzías en 740 a.C. y la retirada de Senaquerib de Jerusalén en 701 a.C. Debido al estilo lírico más simple, meditativo y reflexivo de </w:t>
      </w:r>
      <w:hyperlink r:id="rId36">
        <w:r>
          <w:rPr>
            <w:lang w:val="es_ES" w:bidi="es_ES"/>
          </w:rPr>
          <w:rPr>
            <w:color w:val="0000EE"/>
            <w:u w:val="single"/>
          </w:rPr>
          <w:t>los capítulos 40–66</w:t>
        </w:r>
      </w:hyperlink>
      <w:r>
        <w:rPr>
          <w:lang w:val="es_ES" w:bidi="es_ES"/>
        </w:rP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hyperlink r:id="rId20">
        <w:r>
          <w:rPr>
            <w:lang w:val="es_ES" w:bidi="es_ES"/>
          </w:rPr>
          <w:rPr>
            <w:color w:val="0000EE"/>
            <w:u w:val="single"/>
          </w:rPr>
          <w:t>los capítulos 1–39</w:t>
        </w:r>
      </w:hyperlink>
      <w:r>
        <w:rPr>
          <w:lang w:val="es_ES" w:bidi="es_ES"/>
        </w:rPr>
        <w:t xml:space="preserve"> y la escritura de </w:t>
      </w:r>
      <w:hyperlink r:id="rId36">
        <w:r>
          <w:rPr>
            <w:lang w:val="es_ES" w:bidi="es_ES"/>
          </w:rPr>
          <w:rPr>
            <w:color w:val="0000EE"/>
            <w:u w:val="single"/>
          </w:rPr>
          <w:t>los capítulos 40–66</w:t>
        </w:r>
      </w:hyperlink>
      <w:r>
        <w:rPr>
          <w:lang w:val="es_ES" w:bidi="es_ES"/>
        </w:rPr>
        <w:t>.</w:t>
      </w:r>
    </w:p>
    <w:p>
      <w:pPr>
        <w:pStyle w:val="Heading2"/>
      </w:pPr>
      <w:r>
        <w:rPr>
          <w:lang w:val="es_ES" w:bidi="es_ES"/>
        </w:rPr>
        <w:t>Géneros Literarios</w:t>
      </w:r>
    </w:p>
    <w:p>
      <w:pPr/>
      <w:r>
        <w:rPr>
          <w:lang w:val="es_ES" w:bidi="es_ES"/>
        </w:rPr>
      </w:r>
      <w:r>
        <w:rPr>
          <w:lang w:val="es_ES" w:bidi="es_ES"/>
        </w:rPr>
        <w:t>Isaías contiene una rica variedad de subgéneros:</w:t>
      </w:r>
    </w:p>
    <w:p>
      <w:pPr>
        <w:pStyle w:val="ListBullet"/>
        <w:spacing w:line="240" w:lineRule="auto"/>
        <w:ind w:left="720"/>
      </w:pPr>
      <w:r>
        <w:rPr>
          <w:lang w:val="es_ES" w:bidi="es_ES"/>
        </w:rPr>
      </w:r>
      <w:r>
        <w:rPr>
          <w:lang w:val="es_ES" w:bidi="es_ES"/>
        </w:rPr>
        <w:t>discursos de juicio que advierten a Israel que Dios los castigará por sus pecados (</w:t>
      </w:r>
      <w:hyperlink r:id="rId37">
        <w:r>
          <w:rPr>
            <w:lang w:val="es_ES" w:bidi="es_ES"/>
          </w:rPr>
          <w:rPr>
            <w:color w:val="0000EE"/>
            <w:u w:val="single"/>
          </w:rPr>
          <w:t>9:8–21</w:t>
        </w:r>
      </w:hyperlink>
      <w:r>
        <w:rPr>
          <w:lang w:val="es_ES" w:bidi="es_ES"/>
        </w:rPr>
        <w:t>);</w:t>
      </w:r>
    </w:p>
    <w:p>
      <w:pPr>
        <w:pStyle w:val="ListBullet"/>
        <w:spacing w:line="240" w:lineRule="auto"/>
        <w:ind w:left="720"/>
      </w:pPr>
      <w:r>
        <w:rPr>
          <w:lang w:val="es_ES" w:bidi="es_ES"/>
        </w:rPr>
      </w:r>
      <w:r>
        <w:rPr>
          <w:lang w:val="es_ES" w:bidi="es_ES"/>
        </w:rPr>
        <w:t>profecías de infortunio que lamentan la muerte inminente de la nación (</w:t>
      </w:r>
      <w:hyperlink r:id="rId38">
        <w:r>
          <w:rPr>
            <w:lang w:val="es_ES" w:bidi="es_ES"/>
          </w:rPr>
          <w:rPr>
            <w:color w:val="0000EE"/>
            <w:u w:val="single"/>
          </w:rPr>
          <w:t>5:8–30,</w:t>
        </w:r>
      </w:hyperlink>
      <w:r>
        <w:rPr>
          <w:lang w:val="es_ES" w:bidi="es_ES"/>
        </w:rPr>
        <w:t xml:space="preserve"> </w:t>
      </w:r>
      <w:hyperlink r:id="rId39">
        <w:r>
          <w:rPr>
            <w:lang w:val="es_ES" w:bidi="es_ES"/>
          </w:rPr>
          <w:rPr>
            <w:color w:val="0000EE"/>
            <w:u w:val="single"/>
          </w:rPr>
          <w:t>29:1–12,</w:t>
        </w:r>
      </w:hyperlink>
      <w:r>
        <w:rPr>
          <w:lang w:val="es_ES" w:bidi="es_ES"/>
        </w:rPr>
        <w:t xml:space="preserve"> </w:t>
      </w:r>
      <w:hyperlink r:id="rId40">
        <w:r>
          <w:rPr>
            <w:lang w:val="es_ES" w:bidi="es_ES"/>
          </w:rPr>
          <w:rPr>
            <w:color w:val="0000EE"/>
            <w:u w:val="single"/>
          </w:rPr>
          <w:t>31:1–9</w:t>
        </w:r>
      </w:hyperlink>
      <w:r>
        <w:rPr>
          <w:lang w:val="es_ES" w:bidi="es_ES"/>
        </w:rPr>
        <w:t>);</w:t>
      </w:r>
    </w:p>
    <w:p>
      <w:pPr>
        <w:pStyle w:val="ListBullet"/>
        <w:spacing w:line="240" w:lineRule="auto"/>
        <w:ind w:left="720"/>
      </w:pPr>
      <w:r>
        <w:rPr>
          <w:lang w:val="es_ES" w:bidi="es_ES"/>
        </w:rPr>
      </w:r>
      <w:r>
        <w:rPr>
          <w:lang w:val="es_ES" w:bidi="es_ES"/>
        </w:rPr>
        <w:t>parábolas que enseñan por analogía (</w:t>
      </w:r>
      <w:hyperlink r:id="rId41">
        <w:r>
          <w:rPr>
            <w:lang w:val="es_ES" w:bidi="es_ES"/>
          </w:rPr>
          <w:rPr>
            <w:color w:val="0000EE"/>
            <w:u w:val="single"/>
          </w:rPr>
          <w:t>5:1–8,</w:t>
        </w:r>
      </w:hyperlink>
      <w:r>
        <w:rPr>
          <w:lang w:val="es_ES" w:bidi="es_ES"/>
        </w:rPr>
        <w:t xml:space="preserve"> </w:t>
      </w:r>
      <w:hyperlink r:id="rId42">
        <w:r>
          <w:rPr>
            <w:lang w:val="es_ES" w:bidi="es_ES"/>
          </w:rPr>
          <w:rPr>
            <w:color w:val="0000EE"/>
            <w:u w:val="single"/>
          </w:rPr>
          <w:t>27:2–6</w:t>
        </w:r>
      </w:hyperlink>
      <w:r>
        <w:rPr>
          <w:lang w:val="es_ES" w:bidi="es_ES"/>
        </w:rPr>
        <w:t>);</w:t>
      </w:r>
    </w:p>
    <w:p>
      <w:pPr>
        <w:pStyle w:val="ListBullet"/>
        <w:spacing w:line="240" w:lineRule="auto"/>
        <w:ind w:left="720"/>
      </w:pPr>
      <w:r>
        <w:rPr>
          <w:lang w:val="es_ES" w:bidi="es_ES"/>
        </w:rPr>
      </w:r>
      <w:r>
        <w:rPr>
          <w:lang w:val="es_ES" w:bidi="es_ES"/>
        </w:rPr>
        <w:t>discursos de juicio para probar un caso (</w:t>
      </w:r>
      <w:hyperlink r:id="rId43">
        <w:r>
          <w:rPr>
            <w:lang w:val="es_ES" w:bidi="es_ES"/>
          </w:rPr>
          <w:rPr>
            <w:color w:val="0000EE"/>
            <w:u w:val="single"/>
          </w:rPr>
          <w:t>41:21–29</w:t>
        </w:r>
      </w:hyperlink>
      <w:r>
        <w:rPr>
          <w:lang w:val="es_ES" w:bidi="es_ES"/>
        </w:rPr>
        <w:t>);</w:t>
      </w:r>
    </w:p>
    <w:p>
      <w:pPr>
        <w:pStyle w:val="ListBullet"/>
        <w:spacing w:line="240" w:lineRule="auto"/>
        <w:ind w:left="720"/>
      </w:pPr>
      <w:r>
        <w:rPr>
          <w:lang w:val="es_ES" w:bidi="es_ES"/>
        </w:rPr>
      </w:r>
      <w:r>
        <w:rPr>
          <w:lang w:val="es_ES" w:bidi="es_ES"/>
        </w:rPr>
        <w:t>profecías de salvación con esperanza para el futuro (</w:t>
      </w:r>
      <w:hyperlink r:id="rId44">
        <w:r>
          <w:rPr>
            <w:lang w:val="es_ES" w:bidi="es_ES"/>
          </w:rPr>
          <w:rPr>
            <w:color w:val="0000EE"/>
            <w:u w:val="single"/>
          </w:rPr>
          <w:t>2:1–5,</w:t>
        </w:r>
      </w:hyperlink>
      <w:r>
        <w:rPr>
          <w:lang w:val="es_ES" w:bidi="es_ES"/>
        </w:rPr>
        <w:t xml:space="preserve"> </w:t>
      </w:r>
      <w:hyperlink r:id="rId45">
        <w:r>
          <w:rPr>
            <w:lang w:val="es_ES" w:bidi="es_ES"/>
          </w:rPr>
          <w:rPr>
            <w:color w:val="0000EE"/>
            <w:u w:val="single"/>
          </w:rPr>
          <w:t>32:1–20,</w:t>
        </w:r>
      </w:hyperlink>
      <w:r>
        <w:rPr>
          <w:lang w:val="es_ES" w:bidi="es_ES"/>
        </w:rPr>
        <w:t xml:space="preserve"> </w:t>
      </w:r>
      <w:hyperlink r:id="rId46">
        <w:r>
          <w:rPr>
            <w:lang w:val="es_ES" w:bidi="es_ES"/>
          </w:rPr>
          <w:rPr>
            <w:color w:val="0000EE"/>
            <w:u w:val="single"/>
          </w:rPr>
          <w:t>60:1–22</w:t>
        </w:r>
      </w:hyperlink>
      <w:r>
        <w:rPr>
          <w:lang w:val="es_ES" w:bidi="es_ES"/>
        </w:rPr>
        <w:t>);</w:t>
      </w:r>
    </w:p>
    <w:p>
      <w:pPr>
        <w:pStyle w:val="ListBullet"/>
        <w:spacing w:line="240" w:lineRule="auto"/>
        <w:ind w:left="720"/>
      </w:pPr>
      <w:r>
        <w:rPr>
          <w:lang w:val="es_ES" w:bidi="es_ES"/>
        </w:rPr>
      </w:r>
      <w:r>
        <w:rPr>
          <w:lang w:val="es_ES" w:bidi="es_ES"/>
        </w:rPr>
        <w:t>himnos de alabanza a Dios por su fidelidad (</w:t>
      </w:r>
      <w:hyperlink r:id="rId47">
        <w:r>
          <w:rPr>
            <w:lang w:val="es_ES" w:bidi="es_ES"/>
          </w:rPr>
          <w:rPr>
            <w:color w:val="0000EE"/>
            <w:u w:val="single"/>
          </w:rPr>
          <w:t>12:1–6,</w:t>
        </w:r>
      </w:hyperlink>
      <w:r>
        <w:rPr>
          <w:lang w:val="es_ES" w:bidi="es_ES"/>
        </w:rPr>
        <w:t xml:space="preserve"> </w:t>
      </w:r>
      <w:hyperlink r:id="rId48">
        <w:r>
          <w:rPr>
            <w:lang w:val="es_ES" w:bidi="es_ES"/>
          </w:rPr>
          <w:rPr>
            <w:color w:val="0000EE"/>
            <w:u w:val="single"/>
          </w:rPr>
          <w:t>26:1–6</w:t>
        </w:r>
      </w:hyperlink>
      <w:r>
        <w:rPr>
          <w:lang w:val="es_ES" w:bidi="es_ES"/>
        </w:rPr>
        <w:t>);</w:t>
      </w:r>
    </w:p>
    <w:p>
      <w:pPr>
        <w:pStyle w:val="ListBullet"/>
        <w:spacing w:line="240" w:lineRule="auto"/>
        <w:ind w:left="720"/>
      </w:pPr>
      <w:r>
        <w:rPr>
          <w:lang w:val="es_ES" w:bidi="es_ES"/>
        </w:rPr>
      </w:r>
      <w:r>
        <w:rPr>
          <w:lang w:val="es_ES" w:bidi="es_ES"/>
        </w:rPr>
        <w:t>profecías contra naciones extranjeras (</w:t>
      </w:r>
      <w:hyperlink r:id="rId49">
        <w:r>
          <w:rPr>
            <w:lang w:val="es_ES" w:bidi="es_ES"/>
          </w:rPr>
          <w:rPr>
            <w:color w:val="0000EE"/>
            <w:u w:val="single"/>
          </w:rPr>
          <w:t>15:1–16:14,</w:t>
        </w:r>
      </w:hyperlink>
      <w:r>
        <w:rPr>
          <w:lang w:val="es_ES" w:bidi="es_ES"/>
        </w:rPr>
        <w:t xml:space="preserve"> </w:t>
      </w:r>
      <w:hyperlink r:id="rId50">
        <w:r>
          <w:rPr>
            <w:lang w:val="es_ES" w:bidi="es_ES"/>
          </w:rPr>
          <w:rPr>
            <w:color w:val="0000EE"/>
            <w:u w:val="single"/>
          </w:rPr>
          <w:t>23:1–18</w:t>
        </w:r>
      </w:hyperlink>
      <w:r>
        <w:rPr>
          <w:lang w:val="es_ES" w:bidi="es_ES"/>
        </w:rPr>
        <w:t>);</w:t>
      </w:r>
    </w:p>
    <w:p>
      <w:pPr>
        <w:pStyle w:val="ListBullet"/>
        <w:spacing w:line="240" w:lineRule="auto"/>
        <w:ind w:left="720"/>
      </w:pPr>
      <w:r>
        <w:rPr>
          <w:lang w:val="es_ES" w:bidi="es_ES"/>
        </w:rPr>
      </w:r>
      <w:r>
        <w:rPr>
          <w:lang w:val="es_ES" w:bidi="es_ES"/>
        </w:rPr>
        <w:t>profecías de un rey que vendría, el Mesías (</w:t>
      </w:r>
      <w:hyperlink r:id="rId51">
        <w:r>
          <w:rPr>
            <w:lang w:val="es_ES" w:bidi="es_ES"/>
          </w:rPr>
          <w:rPr>
            <w:color w:val="0000EE"/>
            <w:u w:val="single"/>
          </w:rPr>
          <w:t>9:1–7,</w:t>
        </w:r>
      </w:hyperlink>
      <w:r>
        <w:rPr>
          <w:lang w:val="es_ES" w:bidi="es_ES"/>
        </w:rPr>
        <w:t xml:space="preserve"> </w:t>
      </w:r>
      <w:hyperlink r:id="rId52">
        <w:r>
          <w:rPr>
            <w:lang w:val="es_ES" w:bidi="es_ES"/>
          </w:rPr>
          <w:rPr>
            <w:color w:val="0000EE"/>
            <w:u w:val="single"/>
          </w:rPr>
          <w:t>11:1–9</w:t>
        </w:r>
      </w:hyperlink>
      <w:r>
        <w:rPr>
          <w:lang w:val="es_ES" w:bidi="es_ES"/>
        </w:rPr>
        <w:t>);</w:t>
      </w:r>
    </w:p>
    <w:p>
      <w:pPr>
        <w:pStyle w:val="ListBullet"/>
        <w:spacing w:line="240" w:lineRule="auto"/>
        <w:ind w:left="720"/>
      </w:pPr>
      <w:r>
        <w:rPr>
          <w:lang w:val="es_ES" w:bidi="es_ES"/>
        </w:rPr>
      </w:r>
      <w:r>
        <w:rPr>
          <w:lang w:val="es_ES" w:bidi="es_ES"/>
        </w:rPr>
        <w:t>canciones de siervo sobre alguien que sufriría por los pecados de otros (</w:t>
      </w:r>
      <w:hyperlink r:id="rId53">
        <w:r>
          <w:rPr>
            <w:lang w:val="es_ES" w:bidi="es_ES"/>
          </w:rPr>
          <w:rPr>
            <w:color w:val="0000EE"/>
            <w:u w:val="single"/>
          </w:rPr>
          <w:t>42:1–9,</w:t>
        </w:r>
      </w:hyperlink>
      <w:r>
        <w:rPr>
          <w:lang w:val="es_ES" w:bidi="es_ES"/>
        </w:rPr>
        <w:t xml:space="preserve"> </w:t>
      </w:r>
      <w:hyperlink r:id="rId54">
        <w:r>
          <w:rPr>
            <w:lang w:val="es_ES" w:bidi="es_ES"/>
          </w:rPr>
          <w:rPr>
            <w:color w:val="0000EE"/>
            <w:u w:val="single"/>
          </w:rPr>
          <w:t>52:13–53:12</w:t>
        </w:r>
      </w:hyperlink>
      <w:r>
        <w:rPr>
          <w:lang w:val="es_ES" w:bidi="es_ES"/>
        </w:rPr>
        <w:t>); y</w:t>
      </w:r>
    </w:p>
    <w:p>
      <w:pPr>
        <w:pStyle w:val="ListBullet"/>
        <w:spacing w:line="240" w:lineRule="auto"/>
        <w:ind w:left="720"/>
      </w:pPr>
      <w:r>
        <w:rPr>
          <w:lang w:val="es_ES" w:bidi="es_ES"/>
        </w:rPr>
      </w:r>
      <w:r>
        <w:rPr>
          <w:lang w:val="es_ES" w:bidi="es_ES"/>
        </w:rPr>
        <w:t>narrativas de eventos actuales (</w:t>
      </w:r>
      <w:hyperlink r:id="rId55">
        <w:r>
          <w:rPr>
            <w:lang w:val="es_ES" w:bidi="es_ES"/>
          </w:rPr>
          <w:rPr>
            <w:color w:val="0000EE"/>
            <w:u w:val="single"/>
          </w:rPr>
          <w:t>36:1–22,</w:t>
        </w:r>
      </w:hyperlink>
      <w:r>
        <w:rPr>
          <w:lang w:val="es_ES" w:bidi="es_ES"/>
        </w:rPr>
        <w:t xml:space="preserve"> </w:t>
      </w:r>
      <w:hyperlink r:id="rId25">
        <w:r>
          <w:rPr>
            <w:lang w:val="es_ES" w:bidi="es_ES"/>
          </w:rPr>
          <w:rPr>
            <w:color w:val="0000EE"/>
            <w:u w:val="single"/>
          </w:rPr>
          <w:t>39:1–8</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lang w:val="es_ES" w:bidi="es_ES"/>
        </w:rPr>
        <w:t xml:space="preserve">Immanuel </w:t>
      </w:r>
      <w:r>
        <w:rPr>
          <w:lang w:val="es_ES" w:bidi="es_ES"/>
        </w:rPr>
        <w:t xml:space="preserve">(“Dios está con nosotros,” </w:t>
      </w:r>
      <w:hyperlink r:id="rId56">
        <w:r>
          <w:rPr>
            <w:lang w:val="es_ES" w:bidi="es_ES"/>
          </w:rPr>
          <w:rPr>
            <w:color w:val="0000EE"/>
            <w:u w:val="single"/>
          </w:rPr>
          <w:t>7:14</w:t>
        </w:r>
      </w:hyperlink>
      <w:r>
        <w:rPr>
          <w:lang w:val="es_ES" w:bidi="es_ES"/>
        </w:rPr>
        <w:t xml:space="preserve">). Por lo tanto, el Dios trascendente también es "inmanente" (cercano). La cercanía de Dios prepara a los lectores de Isaías para recibir a Dios "encarnado" (en la carne), Jesucristo, quien es verdaderamente el Emanuel (ver </w:t>
      </w:r>
      <w:hyperlink r:id="rId57">
        <w:r>
          <w:rPr>
            <w:lang w:val="es_ES" w:bidi="es_ES"/>
          </w:rPr>
          <w:rPr>
            <w:color w:val="0000EE"/>
            <w:u w:val="single"/>
          </w:rPr>
          <w:t>Mt 1:21–23</w:t>
        </w:r>
      </w:hyperlink>
      <w:r>
        <w:rPr>
          <w:lang w:val="es_ES" w:bidi="es_ES"/>
        </w:rPr>
        <w:t>).</w:t>
      </w:r>
    </w:p>
    <w:p>
      <w:pPr/>
      <w:r>
        <w:rPr>
          <w:lang w:val="es_ES" w:bidi="es_ES"/>
        </w:rPr>
      </w:r>
      <w:r>
        <w:rPr>
          <w:lang w:val="es_ES" w:bidi="es_ES"/>
        </w:rP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pPr/>
      <w:r>
        <w:rPr>
          <w:lang w:val="es_ES" w:bidi="es_ES"/>
        </w:rPr>
      </w:r>
      <w:r>
        <w:rPr>
          <w:lang w:val="es_ES" w:bidi="es_ES"/>
        </w:rP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pPr/>
      <w:r>
        <w:rPr>
          <w:lang w:val="es_ES" w:bidi="es_ES"/>
        </w:rPr>
      </w:r>
      <w:r>
        <w:rPr>
          <w:lang w:val="es_ES" w:bidi="es_ES"/>
        </w:rP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