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3">
        <w:r>
          <w:rPr>
            <w:lang w:val="es_ES" w:bidi="es_ES"/>
          </w:rPr>
          <w:rPr>
            <w:color w:val="0000EE"/>
            <w:u w:val="single"/>
          </w:rPr>
          <w:t>Hechos 13:13–14:28</w:t>
        </w:r>
      </w:hyperlink>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4">
        <w:r>
          <w:rPr>
            <w:lang w:val="es_ES" w:bidi="es_ES"/>
          </w:rPr>
          <w:rPr>
            <w:color w:val="0000EE"/>
            <w:u w:val="single"/>
          </w:rPr>
          <w:t>Hechos 14:27</w:t>
        </w:r>
      </w:hyperlink>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hyperlink r:id="rId15">
        <w:r>
          <w:rPr>
            <w:lang w:val="es_ES" w:bidi="es_ES"/>
          </w:rPr>
          <w:rPr>
            <w:color w:val="0000EE"/>
            <w:u w:val="single"/>
          </w:rPr>
          <w:t>Hechos 10:1–48</w:t>
        </w:r>
      </w:hyperlink>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hyperlink r:id="rId16">
        <w:r>
          <w:rPr>
            <w:lang w:val="es_ES" w:bidi="es_ES"/>
          </w:rPr>
          <w:rPr>
            <w:color w:val="0000EE"/>
            <w:u w:val="single"/>
          </w:rPr>
          <w:t>Hechos 15:1–41</w:t>
        </w:r>
      </w:hyperlink>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7">
        <w:r>
          <w:rPr>
            <w:lang w:val="es_ES" w:bidi="es_ES"/>
          </w:rPr>
          <w:rPr>
            <w:color w:val="0000EE"/>
            <w:u w:val="single"/>
          </w:rPr>
          <w:t>Hechos 11:1–18</w:t>
        </w:r>
      </w:hyperlink>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hyperlink r:id="rId18">
        <w:r>
          <w:rPr>
            <w:lang w:val="es_ES" w:bidi="es_ES"/>
          </w:rPr>
          <w:rPr>
            <w:color w:val="0000EE"/>
            <w:u w:val="single"/>
          </w:rPr>
          <w:t>Ga 1:1–5</w:t>
        </w:r>
      </w:hyperlink>
      <w:r>
        <w:rPr>
          <w:lang w:val="es_ES" w:bidi="es_ES"/>
        </w:rPr>
        <w:t>), Pablo se adentra directamente en su tesis: La Buena Nueva que predica es la única verdadera Buena Nueva (</w:t>
      </w:r>
      <w:hyperlink r:id="rId19">
        <w:r>
          <w:rPr>
            <w:lang w:val="es_ES" w:bidi="es_ES"/>
          </w:rPr>
          <w:rPr>
            <w:color w:val="0000EE"/>
            <w:u w:val="single"/>
          </w:rPr>
          <w:t>1:6–7</w:t>
        </w:r>
      </w:hyperlink>
      <w:r>
        <w:rPr>
          <w:lang w:val="es_ES" w:bidi="es_ES"/>
        </w:rPr>
        <w:t>), él es un auténtico apóstol de Cristo (</w:t>
      </w:r>
      <w:hyperlink r:id="rId20">
        <w:r>
          <w:rPr>
            <w:lang w:val="es_ES" w:bidi="es_ES"/>
          </w:rPr>
          <w:rPr>
            <w:color w:val="0000EE"/>
            <w:u w:val="single"/>
          </w:rPr>
          <w:t>1:1</w:t>
        </w:r>
      </w:hyperlink>
      <w:r>
        <w:rPr>
          <w:lang w:val="es_ES" w:bidi="es_ES"/>
        </w:rPr>
        <w:t>,</w:t>
      </w:r>
      <w:hyperlink r:id="rId21">
        <w:r>
          <w:rPr>
            <w:lang w:val="es_ES" w:bidi="es_ES"/>
          </w:rPr>
          <w:rPr>
            <w:color w:val="0000EE"/>
            <w:u w:val="single"/>
          </w:rPr>
          <w:t>10</w:t>
        </w:r>
      </w:hyperlink>
      <w:r>
        <w:rPr>
          <w:lang w:val="es_ES" w:bidi="es_ES"/>
        </w:rPr>
        <w:t>), y sus oponentes enfrentarán el juicio de Dios por su mensaje falso (</w:t>
      </w:r>
      <w:hyperlink r:id="rId22">
        <w:r>
          <w:rPr>
            <w:lang w:val="es_ES" w:bidi="es_ES"/>
          </w:rPr>
          <w:rPr>
            <w:color w:val="0000EE"/>
            <w:u w:val="single"/>
          </w:rPr>
          <w:t>1:8–9</w:t>
        </w:r>
      </w:hyperlink>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hyperlink r:id="rId23">
        <w:r>
          <w:rPr>
            <w:lang w:val="es_ES" w:bidi="es_ES"/>
          </w:rPr>
          <w:rPr>
            <w:color w:val="0000EE"/>
            <w:u w:val="single"/>
          </w:rPr>
          <w:t>1:11–2:21</w:t>
        </w:r>
      </w:hyperlink>
      <w:r>
        <w:rPr>
          <w:lang w:val="es_ES" w:bidi="es_ES"/>
        </w:rPr>
        <w:t>). Para ello, Pablo recuerda a los gálatas cómo era antes (</w:t>
      </w:r>
      <w:hyperlink r:id="rId24">
        <w:r>
          <w:rPr>
            <w:lang w:val="es_ES" w:bidi="es_ES"/>
          </w:rPr>
          <w:rPr>
            <w:color w:val="0000EE"/>
            <w:u w:val="single"/>
          </w:rPr>
          <w:t>1:13–14</w:t>
        </w:r>
      </w:hyperlink>
      <w:r>
        <w:rPr>
          <w:lang w:val="es_ES" w:bidi="es_ES"/>
        </w:rPr>
        <w:t>) y relata su experiencia de conversión y su llamado por Dios (</w:t>
      </w:r>
      <w:hyperlink r:id="rId25">
        <w:r>
          <w:rPr>
            <w:lang w:val="es_ES" w:bidi="es_ES"/>
          </w:rPr>
          <w:rPr>
            <w:color w:val="0000EE"/>
            <w:u w:val="single"/>
          </w:rPr>
          <w:t>1:15–16</w:t>
        </w:r>
      </w:hyperlink>
      <w:r>
        <w:rPr>
          <w:lang w:val="es_ES" w:bidi="es_ES"/>
        </w:rPr>
        <w:t>a). Pablo recibió la Buena Nueva como una revelación directa de Cristo (</w:t>
      </w:r>
      <w:hyperlink r:id="rId26">
        <w:r>
          <w:rPr>
            <w:lang w:val="es_ES" w:bidi="es_ES"/>
          </w:rPr>
          <w:rPr>
            <w:color w:val="0000EE"/>
            <w:u w:val="single"/>
          </w:rPr>
          <w:t>1:11–12</w:t>
        </w:r>
      </w:hyperlink>
      <w:r>
        <w:rPr>
          <w:lang w:val="es_ES" w:bidi="es_ES"/>
        </w:rPr>
        <w:t>) en lugar de recibirla de los otros apóstoles en Jerusalén (</w:t>
      </w:r>
      <w:hyperlink r:id="rId27">
        <w:r>
          <w:rPr>
            <w:lang w:val="es_ES" w:bidi="es_ES"/>
          </w:rPr>
          <w:rPr>
            <w:color w:val="0000EE"/>
            <w:u w:val="single"/>
          </w:rPr>
          <w:t>1:16–24</w:t>
        </w:r>
      </w:hyperlink>
      <w:r>
        <w:rPr>
          <w:lang w:val="es_ES" w:bidi="es_ES"/>
        </w:rPr>
        <w:t>). Aun así, los otros apóstoles reconocieron el apostolado y el mensaje de Pablo (</w:t>
      </w:r>
      <w:hyperlink r:id="rId28">
        <w:r>
          <w:rPr>
            <w:lang w:val="es_ES" w:bidi="es_ES"/>
          </w:rPr>
          <w:rPr>
            <w:color w:val="0000EE"/>
            <w:u w:val="single"/>
          </w:rPr>
          <w:t>2:1–10</w:t>
        </w:r>
      </w:hyperlink>
      <w:r>
        <w:rPr>
          <w:lang w:val="es_ES" w:bidi="es_ES"/>
        </w:rPr>
        <w:t>), y no tenían nada que añadir o cambiar. Además, Pablo demostró su autenticidad en una ocasión cuando Pedro y algunos otros comprometieron la Buena Nueva en contra de sus propios principios (</w:t>
      </w:r>
      <w:hyperlink r:id="rId29">
        <w:r>
          <w:rPr>
            <w:lang w:val="es_ES" w:bidi="es_ES"/>
          </w:rPr>
          <w:rPr>
            <w:color w:val="0000EE"/>
            <w:u w:val="single"/>
          </w:rPr>
          <w:t>2:11–21</w:t>
        </w:r>
      </w:hyperlink>
      <w:r>
        <w:rPr>
          <w:lang w:val="es_ES" w:bidi="es_ES"/>
        </w:rPr>
        <w:t>).</w:t>
      </w:r>
    </w:p>
    <w:p>
      <w:pPr/>
      <w:r>
        <w:rPr>
          <w:lang w:val="es_ES" w:bidi="es_ES"/>
        </w:rPr>
      </w:r>
      <w:r>
        <w:rPr>
          <w:lang w:val="es_ES" w:bidi="es_ES"/>
        </w:rPr>
        <w:t>Pablo argumenta que su presentación de las Buenas Nuevas es bíblica y verdadera (</w:t>
      </w:r>
      <w:hyperlink r:id="rId30">
        <w:r>
          <w:rPr>
            <w:lang w:val="es_ES" w:bidi="es_ES"/>
          </w:rPr>
          <w:rPr>
            <w:color w:val="0000EE"/>
            <w:u w:val="single"/>
          </w:rPr>
          <w:t>3:1–5:12</w:t>
        </w:r>
      </w:hyperlink>
      <w:r>
        <w:rPr>
          <w:lang w:val="es_ES" w:bidi="es_ES"/>
        </w:rPr>
        <w:t>). Los gálatas habían experimentado el Espíritu por fe (</w:t>
      </w:r>
      <w:hyperlink r:id="rId31">
        <w:r>
          <w:rPr>
            <w:lang w:val="es_ES" w:bidi="es_ES"/>
          </w:rPr>
          <w:rPr>
            <w:color w:val="0000EE"/>
            <w:u w:val="single"/>
          </w:rPr>
          <w:t>3:1–5</w:t>
        </w:r>
      </w:hyperlink>
      <w:r>
        <w:rPr>
          <w:lang w:val="es_ES" w:bidi="es_ES"/>
        </w:rPr>
        <w:t>), por lo que ellos, al igual que todos los que tienen fe en Cristo, experimentarían la misma bendición que recibió Abraham (</w:t>
      </w:r>
      <w:hyperlink r:id="rId32">
        <w:r>
          <w:rPr>
            <w:lang w:val="es_ES" w:bidi="es_ES"/>
          </w:rPr>
          <w:rPr>
            <w:color w:val="0000EE"/>
            <w:u w:val="single"/>
          </w:rPr>
          <w:t>3:6–9</w:t>
        </w:r>
      </w:hyperlink>
      <w:r>
        <w:rPr>
          <w:lang w:val="es_ES" w:bidi="es_ES"/>
        </w:rPr>
        <w:t>). Por el contrario, intentar ser justos cumpliendo la ley solo trae una maldición (</w:t>
      </w:r>
      <w:hyperlink r:id="rId33">
        <w:r>
          <w:rPr>
            <w:lang w:val="es_ES" w:bidi="es_ES"/>
          </w:rPr>
          <w:rPr>
            <w:color w:val="0000EE"/>
            <w:u w:val="single"/>
          </w:rPr>
          <w:t>3:10–12</w:t>
        </w:r>
      </w:hyperlink>
      <w:r>
        <w:rPr>
          <w:lang w:val="es_ES" w:bidi="es_ES"/>
        </w:rPr>
        <w:t>). Cristo nos rescató de esa maldición y puso a disposición la bendición de Dios para todos los que tienen fe en él (</w:t>
      </w:r>
      <w:hyperlink r:id="rId34">
        <w:r>
          <w:rPr>
            <w:lang w:val="es_ES" w:bidi="es_ES"/>
          </w:rPr>
          <w:rPr>
            <w:color w:val="0000EE"/>
            <w:u w:val="single"/>
          </w:rPr>
          <w:t>3:13–14</w:t>
        </w:r>
      </w:hyperlink>
      <w:r>
        <w:rPr>
          <w:lang w:val="es_ES" w:bidi="es_ES"/>
        </w:rPr>
        <w:t>). La promesa de Dios a Abraham muestra que se otorga sobre la base de la fe, no de la ley (</w:t>
      </w:r>
      <w:hyperlink r:id="rId35">
        <w:r>
          <w:rPr>
            <w:lang w:val="es_ES" w:bidi="es_ES"/>
          </w:rPr>
          <w:rPr>
            <w:color w:val="0000EE"/>
            <w:u w:val="single"/>
          </w:rPr>
          <w:t>3:15–18</w:t>
        </w:r>
      </w:hyperlink>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hyperlink r:id="rId36">
        <w:r>
          <w:rPr>
            <w:lang w:val="es_ES" w:bidi="es_ES"/>
          </w:rPr>
          <w:rPr>
            <w:color w:val="0000EE"/>
            <w:u w:val="single"/>
          </w:rPr>
          <w:t>3:19–22</w:t>
        </w:r>
      </w:hyperlink>
      <w:r>
        <w:rPr>
          <w:lang w:val="es_ES" w:bidi="es_ES"/>
        </w:rPr>
        <w:t>). Ahora que Cristo ha venido, aquellos que tienen fe en él son hijos de Dios y herederos de sus promesas (</w:t>
      </w:r>
      <w:hyperlink r:id="rId37">
        <w:r>
          <w:rPr>
            <w:lang w:val="es_ES" w:bidi="es_ES"/>
          </w:rPr>
          <w:rPr>
            <w:color w:val="0000EE"/>
            <w:u w:val="single"/>
          </w:rPr>
          <w:t>3:23–4:7</w:t>
        </w:r>
      </w:hyperlink>
      <w:r>
        <w:rPr>
          <w:lang w:val="es_ES" w:bidi="es_ES"/>
        </w:rPr>
        <w:t>). A la luz de esto, el regreso de los gálatas a confiar en la ley fue un terrible retorno a la esclavitud (</w:t>
      </w:r>
      <w:hyperlink r:id="rId38">
        <w:r>
          <w:rPr>
            <w:lang w:val="es_ES" w:bidi="es_ES"/>
          </w:rPr>
          <w:rPr>
            <w:color w:val="0000EE"/>
            <w:u w:val="single"/>
          </w:rPr>
          <w:t>4:8–11</w:t>
        </w:r>
      </w:hyperlink>
      <w:r>
        <w:rPr>
          <w:lang w:val="es_ES" w:bidi="es_ES"/>
        </w:rPr>
        <w:t>), por lo que Pablo apela personalmente a ellos para que reconsideren (</w:t>
      </w:r>
      <w:hyperlink r:id="rId39">
        <w:r>
          <w:rPr>
            <w:lang w:val="es_ES" w:bidi="es_ES"/>
          </w:rPr>
          <w:rPr>
            <w:color w:val="0000EE"/>
            <w:u w:val="single"/>
          </w:rPr>
          <w:t>4:12–20</w:t>
        </w:r>
      </w:hyperlink>
      <w:r>
        <w:rPr>
          <w:lang w:val="es_ES" w:bidi="es_ES"/>
        </w:rPr>
        <w:t>). Él hace una analogía entre Agar y Sara y los antiguos y nuevos pactos, mostrando que Cristo trae libertad, no esclavitud (</w:t>
      </w:r>
      <w:hyperlink r:id="rId40">
        <w:r>
          <w:rPr>
            <w:lang w:val="es_ES" w:bidi="es_ES"/>
          </w:rPr>
          <w:rPr>
            <w:color w:val="0000EE"/>
            <w:u w:val="single"/>
          </w:rPr>
          <w:t>4:21–31</w:t>
        </w:r>
      </w:hyperlink>
      <w:r>
        <w:rPr>
          <w:lang w:val="es_ES" w:bidi="es_ES"/>
        </w:rPr>
        <w:t>). El pueblo de Dios debe vivir en libertad (</w:t>
      </w:r>
      <w:hyperlink r:id="rId41">
        <w:r>
          <w:rPr>
            <w:lang w:val="es_ES" w:bidi="es_ES"/>
          </w:rPr>
          <w:rPr>
            <w:color w:val="0000EE"/>
            <w:u w:val="single"/>
          </w:rPr>
          <w:t>5:1</w:t>
        </w:r>
      </w:hyperlink>
      <w:r>
        <w:rPr>
          <w:lang w:val="es_ES" w:bidi="es_ES"/>
        </w:rPr>
        <w:t>), rechazar la dependencia de la obediencia a la ley para la salvación (</w:t>
      </w:r>
      <w:hyperlink r:id="rId42">
        <w:r>
          <w:rPr>
            <w:lang w:val="es_ES" w:bidi="es_ES"/>
          </w:rPr>
          <w:rPr>
            <w:color w:val="0000EE"/>
            <w:u w:val="single"/>
          </w:rPr>
          <w:t>5:2–4</w:t>
        </w:r>
      </w:hyperlink>
      <w:r>
        <w:rPr>
          <w:lang w:val="es_ES" w:bidi="es_ES"/>
        </w:rPr>
        <w:t>) y vivir por fe (</w:t>
      </w:r>
      <w:hyperlink r:id="rId43">
        <w:r>
          <w:rPr>
            <w:lang w:val="es_ES" w:bidi="es_ES"/>
          </w:rPr>
          <w:rPr>
            <w:color w:val="0000EE"/>
            <w:u w:val="single"/>
          </w:rPr>
          <w:t>5:5–6</w:t>
        </w:r>
      </w:hyperlink>
      <w:r>
        <w:rPr>
          <w:lang w:val="es_ES" w:bidi="es_ES"/>
        </w:rPr>
        <w:t>), porque un mensaje de salvación a través de la ley no proviene de Dios (</w:t>
      </w:r>
      <w:hyperlink r:id="rId44">
        <w:r>
          <w:rPr>
            <w:lang w:val="es_ES" w:bidi="es_ES"/>
          </w:rPr>
          <w:rPr>
            <w:color w:val="0000EE"/>
            <w:u w:val="single"/>
          </w:rPr>
          <w:t>5:7–12</w:t>
        </w:r>
      </w:hyperlink>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hyperlink r:id="rId45">
        <w:r>
          <w:rPr>
            <w:lang w:val="es_ES" w:bidi="es_ES"/>
          </w:rPr>
          <w:rPr>
            <w:color w:val="0000EE"/>
            <w:u w:val="single"/>
          </w:rPr>
          <w:t>5:13–6:10</w:t>
        </w:r>
      </w:hyperlink>
      <w:r>
        <w:rPr>
          <w:lang w:val="es_ES" w:bidi="es_ES"/>
        </w:rPr>
        <w:t>). La libertad ofrece una oportunidad para amar en lugar de pecar (</w:t>
      </w:r>
      <w:hyperlink r:id="rId46">
        <w:r>
          <w:rPr>
            <w:lang w:val="es_ES" w:bidi="es_ES"/>
          </w:rPr>
          <w:rPr>
            <w:color w:val="0000EE"/>
            <w:u w:val="single"/>
          </w:rPr>
          <w:t>5:13–15</w:t>
        </w:r>
      </w:hyperlink>
      <w:r>
        <w:rPr>
          <w:lang w:val="es_ES" w:bidi="es_ES"/>
        </w:rPr>
        <w:t>), y la única manera de vencer el pecado es vivir por el poder del Espíritu (</w:t>
      </w:r>
      <w:hyperlink r:id="rId47">
        <w:r>
          <w:rPr>
            <w:lang w:val="es_ES" w:bidi="es_ES"/>
          </w:rPr>
          <w:rPr>
            <w:color w:val="0000EE"/>
            <w:u w:val="single"/>
          </w:rPr>
          <w:t>5:16–18</w:t>
        </w:r>
      </w:hyperlink>
      <w:r>
        <w:rPr>
          <w:lang w:val="es_ES" w:bidi="es_ES"/>
        </w:rPr>
        <w:t>). Vivir mediante el esfuerzo humano no puede superar el pecado, porque la naturaleza pecaminosa solo puede producir acciones pecaminosas (</w:t>
      </w:r>
      <w:hyperlink r:id="rId48">
        <w:r>
          <w:rPr>
            <w:lang w:val="es_ES" w:bidi="es_ES"/>
          </w:rPr>
          <w:rPr>
            <w:color w:val="0000EE"/>
            <w:u w:val="single"/>
          </w:rPr>
          <w:t>5:19–21</w:t>
        </w:r>
      </w:hyperlink>
      <w:r>
        <w:rPr>
          <w:lang w:val="es_ES" w:bidi="es_ES"/>
        </w:rPr>
        <w:t>). Por el contrario, vivir en el poder del Espíritu produce buen fruto (</w:t>
      </w:r>
      <w:hyperlink r:id="rId49">
        <w:r>
          <w:rPr>
            <w:lang w:val="es_ES" w:bidi="es_ES"/>
          </w:rPr>
          <w:rPr>
            <w:color w:val="0000EE"/>
            <w:u w:val="single"/>
          </w:rPr>
          <w:t>5:22–23</w:t>
        </w:r>
      </w:hyperlink>
      <w:r>
        <w:rPr>
          <w:lang w:val="es_ES" w:bidi="es_ES"/>
        </w:rPr>
        <w:t>). Pablo proporciona varios ejemplos de la guía del Espíritu en las vidas de los hijos de Dios (</w:t>
      </w:r>
      <w:hyperlink r:id="rId50">
        <w:r>
          <w:rPr>
            <w:lang w:val="es_ES" w:bidi="es_ES"/>
          </w:rPr>
          <w:rPr>
            <w:color w:val="0000EE"/>
            <w:u w:val="single"/>
          </w:rPr>
          <w:t>5:24–6:10</w:t>
        </w:r>
      </w:hyperlink>
      <w:r>
        <w:rPr>
          <w:lang w:val="es_ES" w:bidi="es_ES"/>
        </w:rPr>
        <w:t>).</w:t>
      </w:r>
    </w:p>
    <w:p>
      <w:pPr/>
      <w:r>
        <w:rPr>
          <w:lang w:val="es_ES" w:bidi="es_ES"/>
        </w:rPr>
      </w:r>
      <w:r>
        <w:rPr>
          <w:lang w:val="es_ES" w:bidi="es_ES"/>
        </w:rPr>
        <w:t>Pablo concluye su carta con una posdata escrita de su propia mano (</w:t>
      </w:r>
      <w:hyperlink r:id="rId51">
        <w:r>
          <w:rPr>
            <w:lang w:val="es_ES" w:bidi="es_ES"/>
          </w:rPr>
          <w:rPr>
            <w:color w:val="0000EE"/>
            <w:u w:val="single"/>
          </w:rPr>
          <w:t>6:11–18</w:t>
        </w:r>
      </w:hyperlink>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hyperlink r:id="rId52">
        <w:r>
          <w:rPr>
            <w:lang w:val="es_ES" w:bidi="es_ES"/>
          </w:rPr>
          <w:rPr>
            <w:color w:val="0000EE"/>
            <w:u w:val="single"/>
          </w:rPr>
          <w:t>Hechos 16:6,</w:t>
        </w:r>
      </w:hyperlink>
      <w:r>
        <w:rPr>
          <w:lang w:val="es_ES" w:bidi="es_ES"/>
        </w:rPr>
        <w:t xml:space="preserve"> </w:t>
      </w:r>
      <w:hyperlink r:id="rId53">
        <w:r>
          <w:rPr>
            <w:lang w:val="es_ES" w:bidi="es_ES"/>
          </w:rPr>
          <w:rPr>
            <w:color w:val="0000EE"/>
            <w:u w:val="single"/>
          </w:rPr>
          <w:t>18:23</w:t>
        </w:r>
      </w:hyperlink>
      <w:r>
        <w:rPr>
          <w:lang w:val="es_ES" w:bidi="es_ES"/>
        </w:rPr>
        <w:t>), mientras que sí tenemos registro de una actividad misionera extensa y repetida por parte de Pablo en la parte sur de la provincia romana de Galacia (</w:t>
      </w:r>
      <w:hyperlink r:id="rId54">
        <w:r>
          <w:rPr>
            <w:lang w:val="es_ES" w:bidi="es_ES"/>
          </w:rPr>
          <w:rPr>
            <w:color w:val="0000EE"/>
            <w:u w:val="single"/>
          </w:rPr>
          <w:t>Hechos 13:13–14:25,</w:t>
        </w:r>
      </w:hyperlink>
      <w:r>
        <w:rPr>
          <w:lang w:val="es_ES" w:bidi="es_ES"/>
        </w:rPr>
        <w:t xml:space="preserve"> </w:t>
      </w:r>
      <w:hyperlink r:id="rId55">
        <w:r>
          <w:rPr>
            <w:lang w:val="es_ES" w:bidi="es_ES"/>
          </w:rPr>
          <w:rPr>
            <w:color w:val="0000EE"/>
            <w:u w:val="single"/>
          </w:rPr>
          <w:t>16:1–5</w:t>
        </w:r>
      </w:hyperlink>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hyperlink r:id="rId56">
        <w:r>
          <w:rPr>
            <w:lang w:val="es_ES" w:bidi="es_ES"/>
          </w:rPr>
          <w:rPr>
            <w:color w:val="0000EE"/>
            <w:u w:val="single"/>
          </w:rPr>
          <w:t>Hechos 15:1–29</w:t>
        </w:r>
      </w:hyperlink>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hyperlink r:id="rId28">
        <w:r>
          <w:rPr>
            <w:lang w:val="es_ES" w:bidi="es_ES"/>
          </w:rPr>
          <w:rPr>
            <w:color w:val="0000EE"/>
            <w:u w:val="single"/>
          </w:rPr>
          <w:t>2:1–10</w:t>
        </w:r>
      </w:hyperlink>
      <w:r>
        <w:rPr>
          <w:lang w:val="es_ES" w:bidi="es_ES"/>
        </w:rPr>
        <w:t xml:space="preserve"> como la descripción de Pablo del concilio en Jerusalén. Sin embargo, un análisis detallado revela diferencias significativas entre el </w:t>
      </w:r>
      <w:hyperlink r:id="rId57">
        <w:r>
          <w:rPr>
            <w:lang w:val="es_ES" w:bidi="es_ES"/>
          </w:rPr>
          <w:rPr>
            <w:color w:val="0000EE"/>
            <w:u w:val="single"/>
          </w:rPr>
          <w:t>cap. 2</w:t>
        </w:r>
      </w:hyperlink>
      <w:r>
        <w:rPr>
          <w:lang w:val="es_ES" w:bidi="es_ES"/>
        </w:rPr>
        <w:t xml:space="preserve"> y </w:t>
      </w:r>
      <w:hyperlink r:id="rId16">
        <w:r>
          <w:rPr>
            <w:lang w:val="es_ES" w:bidi="es_ES"/>
          </w:rPr>
          <w:rPr>
            <w:color w:val="0000EE"/>
            <w:u w:val="single"/>
          </w:rPr>
          <w:t>Hechos 15:1–41</w:t>
        </w:r>
      </w:hyperlink>
      <w:r>
        <w:rPr>
          <w:lang w:val="es_ES" w:bidi="es_ES"/>
        </w:rPr>
        <w:t>. Es complicado reconciliar el relato de Pablo sobre dos visitas a Jerusalén (</w:t>
      </w:r>
      <w:hyperlink r:id="rId58">
        <w:r>
          <w:rPr>
            <w:lang w:val="es_ES" w:bidi="es_ES"/>
          </w:rPr>
          <w:rPr>
            <w:color w:val="0000EE"/>
            <w:u w:val="single"/>
          </w:rPr>
          <w:t>2:1</w:t>
        </w:r>
      </w:hyperlink>
      <w:r>
        <w:rPr>
          <w:lang w:val="es_ES" w:bidi="es_ES"/>
        </w:rPr>
        <w:t xml:space="preserve">) con el hecho de que el concilio en </w:t>
      </w:r>
      <w:hyperlink r:id="rId16">
        <w:r>
          <w:rPr>
            <w:lang w:val="es_ES" w:bidi="es_ES"/>
          </w:rPr>
          <w:rPr>
            <w:color w:val="0000EE"/>
            <w:u w:val="single"/>
          </w:rPr>
          <w:t>Hechos 15:1–41</w:t>
        </w:r>
      </w:hyperlink>
      <w:r>
        <w:rPr>
          <w:lang w:val="es_ES" w:bidi="es_ES"/>
        </w:rPr>
        <w:t xml:space="preserve"> fue realmente su tercera visita. Omitir mencionar su segunda visita (</w:t>
      </w:r>
      <w:hyperlink r:id="rId59">
        <w:r>
          <w:rPr>
            <w:lang w:val="es_ES" w:bidi="es_ES"/>
          </w:rPr>
          <w:rPr>
            <w:color w:val="0000EE"/>
            <w:u w:val="single"/>
          </w:rPr>
          <w:t>Hechos 11:30,</w:t>
        </w:r>
      </w:hyperlink>
      <w:r>
        <w:rPr>
          <w:lang w:val="es_ES" w:bidi="es_ES"/>
        </w:rPr>
        <w:t xml:space="preserve"> </w:t>
      </w:r>
      <w:hyperlink r:id="rId60">
        <w:r>
          <w:rPr>
            <w:lang w:val="es_ES" w:bidi="es_ES"/>
          </w:rPr>
          <w:rPr>
            <w:color w:val="0000EE"/>
            <w:u w:val="single"/>
          </w:rPr>
          <w:t>12:25</w:t>
        </w:r>
      </w:hyperlink>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1">
        <w:r>
          <w:rPr>
            <w:lang w:val="es_ES" w:bidi="es_ES"/>
          </w:rPr>
          <w:rPr>
            <w:color w:val="0000EE"/>
            <w:u w:val="single"/>
          </w:rPr>
          <w:t>Hechos 16:4</w:t>
        </w:r>
      </w:hyperlink>
      <w:r>
        <w:rPr>
          <w:lang w:val="es_ES" w:bidi="es_ES"/>
        </w:rPr>
        <w:t xml:space="preserve">). Por lo tanto, es difícil creer que </w:t>
      </w:r>
      <w:hyperlink r:id="rId28">
        <w:r>
          <w:rPr>
            <w:lang w:val="es_ES" w:bidi="es_ES"/>
          </w:rPr>
          <w:rPr>
            <w:color w:val="0000EE"/>
            <w:u w:val="single"/>
          </w:rPr>
          <w:t>Gálatas 2:1–10</w:t>
        </w:r>
      </w:hyperlink>
      <w:r>
        <w:rPr>
          <w:lang w:val="es_ES" w:bidi="es_ES"/>
        </w:rPr>
        <w:t xml:space="preserve"> describa </w:t>
      </w:r>
      <w:hyperlink r:id="rId16">
        <w:r>
          <w:rPr>
            <w:lang w:val="es_ES" w:bidi="es_ES"/>
          </w:rPr>
          <w:rPr>
            <w:color w:val="0000EE"/>
            <w:u w:val="single"/>
          </w:rPr>
          <w:t>Hechos 15:1–41</w:t>
        </w:r>
      </w:hyperlink>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hyperlink r:id="rId28">
        <w:r>
          <w:rPr>
            <w:lang w:val="es_ES" w:bidi="es_ES"/>
          </w:rPr>
          <w:rPr>
            <w:color w:val="0000EE"/>
            <w:u w:val="single"/>
          </w:rPr>
          <w:t>Gálatas 2:1–10</w:t>
        </w:r>
      </w:hyperlink>
      <w:r>
        <w:rPr>
          <w:lang w:val="es_ES" w:bidi="es_ES"/>
        </w:rPr>
        <w:t xml:space="preserve"> con </w:t>
      </w:r>
      <w:hyperlink r:id="rId59">
        <w:r>
          <w:rPr>
            <w:lang w:val="es_ES" w:bidi="es_ES"/>
          </w:rPr>
          <w:rPr>
            <w:color w:val="0000EE"/>
            <w:u w:val="single"/>
          </w:rPr>
          <w:t>Hechos 11:30</w:t>
        </w:r>
      </w:hyperlink>
      <w:r>
        <w:rPr>
          <w:lang w:val="es_ES" w:bidi="es_ES"/>
        </w:rPr>
        <w:t xml:space="preserve"> y </w:t>
      </w:r>
      <w:hyperlink r:id="rId60">
        <w:r>
          <w:rPr>
            <w:lang w:val="es_ES" w:bidi="es_ES"/>
          </w:rPr>
          <w:rPr>
            <w:color w:val="0000EE"/>
            <w:u w:val="single"/>
          </w:rPr>
          <w:t>12:25</w:t>
        </w:r>
      </w:hyperlink>
      <w:r>
        <w:rPr>
          <w:lang w:val="es_ES" w:bidi="es_ES"/>
        </w:rPr>
        <w:t xml:space="preserve">. Esto sugiere que Pablo escribió Gálatas poco antes del concilio, quizás en el año 48 o 49 d. C., justo cuando la controversia sobre la circuncisión estaba escalando en la iglesia (ver </w:t>
      </w:r>
      <w:hyperlink r:id="rId62">
        <w:r>
          <w:rPr>
            <w:lang w:val="es_ES" w:bidi="es_ES"/>
          </w:rPr>
          <w:rPr>
            <w:color w:val="0000EE"/>
            <w:u w:val="single"/>
          </w:rPr>
          <w:t>Hechos 15:1–2</w:t>
        </w:r>
      </w:hyperlink>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