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hyperlink r:id="rId13">
        <w:r>
          <w:rPr>
            <w:lang w:val="zh_TW" w:bidi="zh_TW"/>
          </w:rPr>
          <w:rPr>
            <w:color w:val="0000EE"/>
            <w:u w:val="single"/>
          </w:rPr>
          <w:t>約20:31</w:t>
        </w:r>
      </w:hyperlink>
      <w:r>
        <w:rPr>
          <w:lang w:val="zh_TW" w:bidi="zh_TW"/>
        </w:rPr>
        <w:t>）。他知道他們不像他那樣的幸運，見到過許多耶穌的神蹟奇事（</w:t>
      </w:r>
      <w:hyperlink r:id="rId14">
        <w:r>
          <w:rPr>
            <w:lang w:val="zh_TW" w:bidi="zh_TW"/>
          </w:rPr>
          <w:rPr>
            <w:color w:val="0000EE"/>
            <w:u w:val="single"/>
          </w:rPr>
          <w:t>約20:29</w:t>
        </w:r>
      </w:hyperlink>
      <w:r>
        <w:rPr>
          <w:lang w:val="zh_TW" w:bidi="zh_TW"/>
        </w:rPr>
        <w:t>）。約翰的權柄和他與耶穌的深厚經歷，在他講述的每個故事中都表露無遺。作為親眼見證耶穌生平的人（</w:t>
      </w:r>
      <w:hyperlink r:id="rId15">
        <w:r>
          <w:rPr>
            <w:lang w:val="zh_TW" w:bidi="zh_TW"/>
          </w:rPr>
          <w:rPr>
            <w:color w:val="0000EE"/>
            <w:u w:val="single"/>
          </w:rPr>
          <w:t>約19:35</w:t>
        </w:r>
      </w:hyperlink>
      <w:r>
        <w:rPr>
          <w:lang w:val="zh_TW" w:bidi="zh_TW"/>
        </w:rPr>
        <w:t>），約翰聽過、見過並觸摸過這生命之道（見</w:t>
      </w:r>
      <w:hyperlink r:id="rId16">
        <w:r>
          <w:rPr>
            <w:lang w:val="zh_TW" w:bidi="zh_TW"/>
          </w:rPr>
          <w:rPr>
            <w:color w:val="0000EE"/>
            <w:u w:val="single"/>
          </w:rPr>
          <w:t>約壹1:1–4</w:t>
        </w:r>
      </w:hyperlink>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7">
        <w:r>
          <w:rPr>
            <w:lang w:val="zh_TW" w:bidi="zh_TW"/>
          </w:rPr>
          <w:rPr>
            <w:color w:val="0000EE"/>
            <w:u w:val="single"/>
          </w:rPr>
          <w:t>約一</w:t>
        </w:r>
      </w:hyperlink>
      <w:r>
        <w:rPr>
          <w:lang w:val="zh_TW" w:bidi="zh_TW"/>
        </w:rPr>
        <w:t>、</w:t>
      </w:r>
      <w:hyperlink r:id="rId18">
        <w:r>
          <w:rPr>
            <w:lang w:val="zh_TW" w:bidi="zh_TW"/>
          </w:rPr>
          <w:rPr>
            <w:color w:val="0000EE"/>
            <w:u w:val="single"/>
          </w:rPr>
          <w:t>約二</w:t>
        </w:r>
      </w:hyperlink>
      <w:r>
        <w:rPr>
          <w:lang w:val="zh_TW" w:bidi="zh_TW"/>
        </w:rPr>
        <w:t>、</w:t>
      </w:r>
      <w:hyperlink r:id="rId19">
        <w:r>
          <w:rPr>
            <w:lang w:val="zh_TW" w:bidi="zh_TW"/>
          </w:rPr>
          <w:rPr>
            <w:color w:val="0000EE"/>
            <w:u w:val="single"/>
          </w:rPr>
          <w:t>約三</w:t>
        </w:r>
      </w:hyperlink>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hyperlink r:id="rId20">
        <w:r>
          <w:rPr>
            <w:lang w:val="zh_TW" w:bidi="zh_TW"/>
          </w:rPr>
          <w:rPr>
            <w:color w:val="0000EE"/>
            <w:u w:val="single"/>
          </w:rPr>
          <w:t>第1–12章</w:t>
        </w:r>
      </w:hyperlink>
      <w:r>
        <w:rPr>
          <w:lang w:val="zh_TW" w:bidi="zh_TW"/>
        </w:rPr>
        <w:t>和</w:t>
      </w:r>
      <w:hyperlink r:id="rId21">
        <w:r>
          <w:rPr>
            <w:lang w:val="zh_TW" w:bidi="zh_TW"/>
          </w:rPr>
          <w:rPr>
            <w:color w:val="0000EE"/>
            <w:u w:val="single"/>
          </w:rPr>
          <w:t>第13–21章</w:t>
        </w:r>
      </w:hyperlink>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hyperlink r:id="rId22">
        <w:r>
          <w:rPr>
            <w:lang w:val="zh_TW" w:bidi="zh_TW"/>
          </w:rPr>
          <w:rPr>
            <w:color w:val="0000EE"/>
            <w:u w:val="single"/>
          </w:rPr>
          <w:t>1:1–18</w:t>
        </w:r>
      </w:hyperlink>
      <w:r>
        <w:rPr>
          <w:lang w:val="zh_TW" w:bidi="zh_TW"/>
        </w:rPr>
        <w:t>）巧妙地總結了神的道進入世界。耶穌受洗並呼召祂最早的跟從者（</w:t>
      </w:r>
      <w:hyperlink r:id="rId23">
        <w:r>
          <w:rPr>
            <w:lang w:val="zh_TW" w:bidi="zh_TW"/>
          </w:rPr>
          <w:rPr>
            <w:color w:val="0000EE"/>
            <w:u w:val="single"/>
          </w:rPr>
          <w:t>1:19–51</w:t>
        </w:r>
      </w:hyperlink>
      <w:r>
        <w:rPr>
          <w:lang w:val="zh_TW" w:bidi="zh_TW"/>
        </w:rPr>
        <w:t>）。然後，一系列顯著的事件（</w:t>
      </w:r>
      <w:hyperlink r:id="rId24">
        <w:r>
          <w:rPr>
            <w:lang w:val="zh_TW" w:bidi="zh_TW"/>
          </w:rPr>
          <w:rPr>
            <w:color w:val="0000EE"/>
            <w:u w:val="single"/>
          </w:rPr>
          <w:t>第2–4章</w:t>
        </w:r>
      </w:hyperlink>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hyperlink r:id="rId25">
        <w:r>
          <w:rPr>
            <w:lang w:val="zh_TW" w:bidi="zh_TW"/>
          </w:rPr>
          <w:rPr>
            <w:color w:val="0000EE"/>
            <w:u w:val="single"/>
          </w:rPr>
          <w:t>章5–10</w:t>
        </w:r>
      </w:hyperlink>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hyperlink r:id="rId26">
        <w:r>
          <w:rPr>
            <w:lang w:val="zh_TW" w:bidi="zh_TW"/>
          </w:rPr>
          <w:rPr>
            <w:color w:val="0000EE"/>
            <w:u w:val="single"/>
          </w:rPr>
          <w:t>第11章</w:t>
        </w:r>
      </w:hyperlink>
      <w:r>
        <w:rPr>
          <w:lang w:val="zh_TW" w:bidi="zh_TW"/>
        </w:rPr>
        <w:t>）。祂的朋友拉撒路死了，耶穌使他復活。在這個非凡的事件之後，耶穌向世界發出了最後的公開呼籲，要人們信祂和祂的使命（</w:t>
      </w:r>
      <w:hyperlink r:id="rId27">
        <w:r>
          <w:rPr>
            <w:lang w:val="zh_TW" w:bidi="zh_TW"/>
          </w:rPr>
          <w:rPr>
            <w:color w:val="0000EE"/>
            <w:u w:val="single"/>
          </w:rPr>
          <w:t>第12章</w:t>
        </w:r>
      </w:hyperlink>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28">
        <w:r>
          <w:rPr>
            <w:lang w:val="zh_TW" w:bidi="zh_TW"/>
          </w:rPr>
          <w:rPr>
            <w:color w:val="0000EE"/>
            <w:u w:val="single"/>
          </w:rPr>
          <w:t>第13–17章</w:t>
        </w:r>
      </w:hyperlink>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hyperlink r:id="rId29">
        <w:r>
          <w:rPr>
            <w:lang w:val="zh_TW" w:bidi="zh_TW"/>
          </w:rPr>
          <w:rPr>
            <w:color w:val="0000EE"/>
            <w:u w:val="single"/>
          </w:rPr>
          <w:t>第18章</w:t>
        </w:r>
      </w:hyperlink>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0">
        <w:r>
          <w:rPr>
            <w:lang w:val="zh_TW" w:bidi="zh_TW"/>
          </w:rPr>
          <w:rPr>
            <w:color w:val="0000EE"/>
            <w:u w:val="single"/>
          </w:rPr>
          <w:t>第19章</w:t>
        </w:r>
      </w:hyperlink>
      <w:r>
        <w:rPr>
          <w:lang w:val="zh_TW" w:bidi="zh_TW"/>
        </w:rPr>
        <w:t>）。</w:t>
      </w:r>
    </w:p>
    <w:p>
      <w:pPr/>
      <w:r>
        <w:rPr>
          <w:lang w:val="zh_TW" w:bidi="zh_TW"/>
        </w:rPr>
      </w:r>
      <w:r>
        <w:rPr>
          <w:lang w:val="zh_TW" w:bidi="zh_TW"/>
        </w:rPr>
        <w:t>約翰福音的高潮是耶穌從死裡復活（</w:t>
      </w:r>
      <w:hyperlink r:id="rId31">
        <w:r>
          <w:rPr>
            <w:lang w:val="zh_TW" w:bidi="zh_TW"/>
          </w:rPr>
          <w:rPr>
            <w:color w:val="0000EE"/>
            <w:u w:val="single"/>
          </w:rPr>
          <w:t>第20章</w:t>
        </w:r>
      </w:hyperlink>
      <w:r>
        <w:rPr>
          <w:lang w:val="zh_TW" w:bidi="zh_TW"/>
        </w:rPr>
        <w:t>）。這個事件是一系列戲劇性敘述的開始，耶穌向跟從祂的人顯現並鼓勵他們。祂賜給他們聖靈，並差派他們代表祂向世界傳揚使命。然後，耶穌吩咐祂的門徒們繼續前行（</w:t>
      </w:r>
      <w:hyperlink r:id="rId32">
        <w:r>
          <w:rPr>
            <w:lang w:val="zh_TW" w:bidi="zh_TW"/>
          </w:rPr>
          <w:rPr>
            <w:color w:val="0000EE"/>
            <w:u w:val="single"/>
          </w:rPr>
          <w:t>第21章</w:t>
        </w:r>
      </w:hyperlink>
      <w:r>
        <w:rPr>
          <w:lang w:val="zh_TW" w:bidi="zh_TW"/>
        </w:rPr>
        <w:t>）。祂叫他們記住祂的能力（</w:t>
      </w:r>
      <w:hyperlink r:id="rId33">
        <w:r>
          <w:rPr>
            <w:lang w:val="zh_TW" w:bidi="zh_TW"/>
          </w:rPr>
          <w:rPr>
            <w:color w:val="0000EE"/>
            <w:u w:val="single"/>
          </w:rPr>
          <w:t>21:1–14</w:t>
        </w:r>
      </w:hyperlink>
      <w:r>
        <w:rPr>
          <w:lang w:val="zh_TW" w:bidi="zh_TW"/>
        </w:rPr>
        <w:t>）；祂重新建造曾否認祂的彼得（</w:t>
      </w:r>
      <w:hyperlink r:id="rId34">
        <w:r>
          <w:rPr>
            <w:lang w:val="zh_TW" w:bidi="zh_TW"/>
          </w:rPr>
          <w:rPr>
            <w:color w:val="0000EE"/>
            <w:u w:val="single"/>
          </w:rPr>
          <w:t>21:15–17</w:t>
        </w:r>
      </w:hyperlink>
      <w:r>
        <w:rPr>
          <w:lang w:val="zh_TW" w:bidi="zh_TW"/>
        </w:rPr>
        <w:t>）；祂還指示彼得在祂的使命中跟從祂（</w:t>
      </w:r>
      <w:hyperlink r:id="rId35">
        <w:r>
          <w:rPr>
            <w:lang w:val="zh_TW" w:bidi="zh_TW"/>
          </w:rPr>
          <w:rPr>
            <w:color w:val="0000EE"/>
            <w:u w:val="single"/>
          </w:rPr>
          <w:t>21:18–19</w:t>
        </w:r>
      </w:hyperlink>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hyperlink r:id="rId36">
        <w:r>
          <w:rPr>
            <w:lang w:val="zh_TW" w:bidi="zh_TW"/>
          </w:rPr>
          <w:rPr>
            <w:color w:val="0000EE"/>
            <w:u w:val="single"/>
          </w:rPr>
          <w:t>13:23</w:t>
        </w:r>
      </w:hyperlink>
      <w:r>
        <w:rPr>
          <w:lang w:val="zh_TW" w:bidi="zh_TW"/>
        </w:rPr>
        <w:t>，</w:t>
      </w:r>
      <w:hyperlink r:id="rId37">
        <w:r>
          <w:rPr>
            <w:lang w:val="zh_TW" w:bidi="zh_TW"/>
          </w:rPr>
          <w:rPr>
            <w:color w:val="0000EE"/>
            <w:u w:val="single"/>
          </w:rPr>
          <w:t>19:26–27</w:t>
        </w:r>
      </w:hyperlink>
      <w:r>
        <w:rPr>
          <w:lang w:val="zh_TW" w:bidi="zh_TW"/>
        </w:rPr>
        <w:t>，</w:t>
      </w:r>
      <w:hyperlink r:id="rId38">
        <w:r>
          <w:rPr>
            <w:lang w:val="zh_TW" w:bidi="zh_TW"/>
          </w:rPr>
          <w:rPr>
            <w:color w:val="0000EE"/>
            <w:u w:val="single"/>
          </w:rPr>
          <w:t>20:2–10</w:t>
        </w:r>
      </w:hyperlink>
      <w:r>
        <w:rPr>
          <w:lang w:val="zh_TW" w:bidi="zh_TW"/>
        </w:rPr>
        <w:t>，</w:t>
      </w:r>
      <w:hyperlink r:id="rId39">
        <w:r>
          <w:rPr>
            <w:lang w:val="zh_TW" w:bidi="zh_TW"/>
          </w:rPr>
          <w:rPr>
            <w:color w:val="0000EE"/>
            <w:u w:val="single"/>
          </w:rPr>
          <w:t>21:7</w:t>
        </w:r>
      </w:hyperlink>
      <w:r>
        <w:rPr>
          <w:lang w:val="zh_TW" w:bidi="zh_TW"/>
        </w:rPr>
        <w:t>、</w:t>
      </w:r>
      <w:hyperlink r:id="rId40">
        <w:r>
          <w:rPr>
            <w:lang w:val="zh_TW" w:bidi="zh_TW"/>
          </w:rPr>
          <w:rPr>
            <w:color w:val="0000EE"/>
            <w:u w:val="single"/>
          </w:rPr>
          <w:t>20–24</w:t>
        </w:r>
      </w:hyperlink>
      <w:r>
        <w:rPr>
          <w:lang w:val="zh_TW" w:bidi="zh_TW"/>
        </w:rPr>
        <w:t>）。約翰福音必然與這個人有關，因為他被認定是這部耶穌生平記錄的證據來源（</w:t>
      </w:r>
      <w:hyperlink r:id="rId15">
        <w:r>
          <w:rPr>
            <w:lang w:val="zh_TW" w:bidi="zh_TW"/>
          </w:rPr>
          <w:rPr>
            <w:color w:val="0000EE"/>
            <w:u w:val="single"/>
          </w:rPr>
          <w:t>19:35</w:t>
        </w:r>
      </w:hyperlink>
      <w:r>
        <w:rPr>
          <w:lang w:val="zh_TW" w:bidi="zh_TW"/>
        </w:rPr>
        <w:t>，</w:t>
      </w:r>
      <w:hyperlink r:id="rId40">
        <w:r>
          <w:rPr>
            <w:lang w:val="zh_TW" w:bidi="zh_TW"/>
          </w:rPr>
          <w:rPr>
            <w:color w:val="0000EE"/>
            <w:u w:val="single"/>
          </w:rPr>
          <w:t>21:20–24</w:t>
        </w:r>
      </w:hyperlink>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hyperlink r:id="rId41">
        <w:r>
          <w:rPr>
            <w:lang w:val="zh_TW" w:bidi="zh_TW"/>
          </w:rPr>
          <w:rPr>
            <w:color w:val="0000EE"/>
            <w:u w:val="single"/>
          </w:rPr>
          <w:t>太26:36–37</w:t>
        </w:r>
      </w:hyperlink>
      <w:r>
        <w:rPr>
          <w:lang w:val="zh_TW" w:bidi="zh_TW"/>
        </w:rPr>
        <w:t>；</w:t>
      </w:r>
      <w:hyperlink r:id="rId42">
        <w:r>
          <w:rPr>
            <w:lang w:val="zh_TW" w:bidi="zh_TW"/>
          </w:rPr>
          <w:rPr>
            <w:color w:val="0000EE"/>
            <w:u w:val="single"/>
          </w:rPr>
          <w:t>可5:37</w:t>
        </w:r>
      </w:hyperlink>
      <w:r>
        <w:rPr>
          <w:lang w:val="zh_TW" w:bidi="zh_TW"/>
        </w:rPr>
        <w:t>，</w:t>
      </w:r>
      <w:hyperlink r:id="rId43">
        <w:r>
          <w:rPr>
            <w:lang w:val="zh_TW" w:bidi="zh_TW"/>
          </w:rPr>
          <w:rPr>
            <w:color w:val="0000EE"/>
            <w:u w:val="single"/>
          </w:rPr>
          <w:t>9:2</w:t>
        </w:r>
      </w:hyperlink>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hyperlink r:id="rId44">
        <w:r>
          <w:rPr>
            <w:lang w:val="zh_TW" w:bidi="zh_TW"/>
          </w:rPr>
          <w:rPr>
            <w:color w:val="0000EE"/>
            <w:u w:val="single"/>
          </w:rPr>
          <w:t>1:38</w:t>
        </w:r>
      </w:hyperlink>
      <w:r>
        <w:rPr>
          <w:lang w:val="zh_TW" w:bidi="zh_TW"/>
        </w:rPr>
        <w:t>），並給出了加利利海的另一個名稱（</w:t>
      </w:r>
      <w:hyperlink r:id="rId45">
        <w:r>
          <w:rPr>
            <w:lang w:val="zh_TW" w:bidi="zh_TW"/>
          </w:rPr>
          <w:rPr>
            <w:color w:val="0000EE"/>
            <w:u w:val="single"/>
          </w:rPr>
          <w:t>6:1</w:t>
        </w:r>
      </w:hyperlink>
      <w:r>
        <w:rPr>
          <w:lang w:val="zh_TW" w:bidi="zh_TW"/>
        </w:rPr>
        <w:t>）。同時，約翰又假設他的讀者熟悉猶太傳統、觀念和節日。他們可能也熟悉馬可福音中呈現的基本故事。例如，約翰提到施洗約翰的監禁（</w:t>
      </w:r>
      <w:hyperlink r:id="rId46">
        <w:r>
          <w:rPr>
            <w:lang w:val="zh_TW" w:bidi="zh_TW"/>
          </w:rPr>
          <w:rPr>
            <w:color w:val="0000EE"/>
            <w:u w:val="single"/>
          </w:rPr>
          <w:t>3:24</w:t>
        </w:r>
      </w:hyperlink>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hyperlink r:id="rId47">
        <w:r>
          <w:rPr>
            <w:lang w:val="zh_TW" w:bidi="zh_TW"/>
          </w:rPr>
          <w:rPr>
            <w:color w:val="0000EE"/>
            <w:u w:val="single"/>
          </w:rPr>
          <w:t>1:5</w:t>
        </w:r>
      </w:hyperlink>
      <w:r>
        <w:rPr>
          <w:lang w:val="zh_TW" w:bidi="zh_TW"/>
        </w:rPr>
        <w:t>)。神的光已經居住在世上：基督顯明了父（</w:t>
      </w:r>
      <w:hyperlink r:id="rId48">
        <w:r>
          <w:rPr>
            <w:lang w:val="zh_TW" w:bidi="zh_TW"/>
          </w:rPr>
          <w:rPr>
            <w:color w:val="0000EE"/>
            <w:u w:val="single"/>
          </w:rPr>
          <w:t>14:9</w:t>
        </w:r>
      </w:hyperlink>
      <w:r>
        <w:rPr>
          <w:lang w:val="zh_TW" w:bidi="zh_TW"/>
        </w:rPr>
        <w:t>）。在基督裡，我們看見了神在人身上的榮耀。即使耶穌被迫害、審判和釘十字架，這光也無法被熄滅。耶穌顯明神的目的是為了救贖人：「生命在祂裡頭，這生命就是人的光」（</w:t>
      </w:r>
      <w:hyperlink r:id="rId49">
        <w:r>
          <w:rPr>
            <w:lang w:val="zh_TW" w:bidi="zh_TW"/>
          </w:rPr>
          <w:rPr>
            <w:color w:val="0000EE"/>
            <w:u w:val="single"/>
          </w:rPr>
          <w:t>1:4</w:t>
        </w:r>
      </w:hyperlink>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hyperlink r:id="rId50">
        <w:r>
          <w:rPr>
            <w:lang w:val="zh_TW" w:bidi="zh_TW"/>
          </w:rPr>
          <w:rPr>
            <w:color w:val="0000EE"/>
            <w:u w:val="single"/>
          </w:rPr>
          <w:t>4:24</w:t>
        </w:r>
      </w:hyperlink>
      <w:r>
        <w:rPr>
          <w:lang w:val="zh_TW" w:bidi="zh_TW"/>
        </w:rPr>
        <w:t>），由神的靈來激勵和啟示。尼哥德慕必須「從水和聖靈」重生才能進入神的國（</w:t>
      </w:r>
      <w:hyperlink r:id="rId51">
        <w:r>
          <w:rPr>
            <w:lang w:val="zh_TW" w:bidi="zh_TW"/>
          </w:rPr>
          <w:rPr>
            <w:color w:val="0000EE"/>
            <w:u w:val="single"/>
          </w:rPr>
          <w:t>3:5</w:t>
        </w:r>
      </w:hyperlink>
      <w:r>
        <w:rPr>
          <w:lang w:val="zh_TW" w:bidi="zh_TW"/>
        </w:rPr>
        <w:t>）。在加利利，耶穌餵飽五千人後，告訴眾人祂將要犧牲的身體就是生命的糧。祂指示他們吃喝祂的身體和血，象徵著主餐（</w:t>
      </w:r>
      <w:hyperlink r:id="rId52">
        <w:r>
          <w:rPr>
            <w:lang w:val="zh_TW" w:bidi="zh_TW"/>
          </w:rPr>
          <w:rPr>
            <w:color w:val="0000EE"/>
            <w:u w:val="single"/>
          </w:rPr>
          <w:t>6:51–59</w:t>
        </w:r>
      </w:hyperlink>
      <w:r>
        <w:rPr>
          <w:lang w:val="zh_TW" w:bidi="zh_TW"/>
        </w:rPr>
        <w:t>）。然而，若敬拜只專注於個別元素而沒有神的靈同在，那就毫無價值（見</w:t>
      </w:r>
      <w:hyperlink r:id="rId53">
        <w:r>
          <w:rPr>
            <w:lang w:val="zh_TW" w:bidi="zh_TW"/>
          </w:rPr>
          <w:rPr>
            <w:color w:val="0000EE"/>
            <w:u w:val="single"/>
          </w:rPr>
          <w:t>6:63</w:t>
        </w:r>
      </w:hyperlink>
      <w:r>
        <w:rPr>
          <w:lang w:val="zh_TW" w:bidi="zh_TW"/>
        </w:rPr>
        <w:t>）。</w:t>
      </w:r>
    </w:p>
    <w:p>
      <w:pPr/>
      <w:r>
        <w:rPr>
          <w:lang w:val="zh_TW" w:bidi="zh_TW"/>
        </w:rPr>
      </w:r>
      <w:r>
        <w:rPr>
          <w:lang w:val="zh_TW" w:bidi="zh_TW"/>
        </w:rPr>
        <w:t>耶穌基督。 約翰記錄了耶穌對其本性、來源和與父的關係的描述。耶穌肯定了祂與父的合一（</w:t>
      </w:r>
      <w:hyperlink r:id="rId54">
        <w:r>
          <w:rPr>
            <w:lang w:val="zh_TW" w:bidi="zh_TW"/>
          </w:rPr>
          <w:rPr>
            <w:color w:val="0000EE"/>
            <w:u w:val="single"/>
          </w:rPr>
          <w:t>10:30</w:t>
        </w:r>
      </w:hyperlink>
      <w:r>
        <w:rPr>
          <w:lang w:val="zh_TW" w:bidi="zh_TW"/>
        </w:rPr>
        <w:t>，</w:t>
      </w:r>
      <w:hyperlink r:id="rId55">
        <w:r>
          <w:rPr>
            <w:lang w:val="zh_TW" w:bidi="zh_TW"/>
          </w:rPr>
          <w:rPr>
            <w:color w:val="0000EE"/>
            <w:u w:val="single"/>
          </w:rPr>
          <w:t>14:9–10</w:t>
        </w:r>
      </w:hyperlink>
      <w:r>
        <w:rPr>
          <w:lang w:val="zh_TW" w:bidi="zh_TW"/>
        </w:rPr>
        <w:t>），他們一致的目的（</w:t>
      </w:r>
      <w:hyperlink r:id="rId56">
        <w:r>
          <w:rPr>
            <w:lang w:val="zh_TW" w:bidi="zh_TW"/>
          </w:rPr>
          <w:rPr>
            <w:color w:val="0000EE"/>
            <w:u w:val="single"/>
          </w:rPr>
          <w:t>5:17</w:t>
        </w:r>
      </w:hyperlink>
      <w:r>
        <w:rPr>
          <w:lang w:val="zh_TW" w:bidi="zh_TW"/>
        </w:rPr>
        <w:t>，</w:t>
      </w:r>
      <w:hyperlink r:id="rId57">
        <w:r>
          <w:rPr>
            <w:lang w:val="zh_TW" w:bidi="zh_TW"/>
          </w:rPr>
          <w:rPr>
            <w:color w:val="0000EE"/>
            <w:u w:val="single"/>
          </w:rPr>
          <w:t>8:42</w:t>
        </w:r>
      </w:hyperlink>
      <w:r>
        <w:rPr>
          <w:lang w:val="zh_TW" w:bidi="zh_TW"/>
        </w:rPr>
        <w:t>），以及他們位格的獨特性（</w:t>
      </w:r>
      <w:hyperlink r:id="rId58">
        <w:r>
          <w:rPr>
            <w:lang w:val="zh_TW" w:bidi="zh_TW"/>
          </w:rPr>
          <w:rPr>
            <w:color w:val="0000EE"/>
            <w:u w:val="single"/>
          </w:rPr>
          <w:t>14:28</w:t>
        </w:r>
      </w:hyperlink>
      <w:r>
        <w:rPr>
          <w:lang w:val="zh_TW" w:bidi="zh_TW"/>
        </w:rPr>
        <w:t>，</w:t>
      </w:r>
      <w:hyperlink r:id="rId59">
        <w:r>
          <w:rPr>
            <w:lang w:val="zh_TW" w:bidi="zh_TW"/>
          </w:rPr>
          <w:rPr>
            <w:color w:val="0000EE"/>
            <w:u w:val="single"/>
          </w:rPr>
          <w:t>17:1–5</w:t>
        </w:r>
      </w:hyperlink>
      <w:r>
        <w:rPr>
          <w:lang w:val="zh_TW" w:bidi="zh_TW"/>
        </w:rPr>
        <w:t>）。耶穌甚至使用了神在舊約中對自己的稱呼——「我是（I am）」，從而肯定了祂自己的神性（見</w:t>
      </w:r>
      <w:hyperlink r:id="rId60">
        <w:r>
          <w:rPr>
            <w:lang w:val="zh_TW" w:bidi="zh_TW"/>
          </w:rPr>
          <w:rPr>
            <w:color w:val="0000EE"/>
            <w:u w:val="single"/>
          </w:rPr>
          <w:t>8:58</w:t>
        </w:r>
      </w:hyperlink>
      <w:r>
        <w:rPr>
          <w:lang w:val="zh_TW" w:bidi="zh_TW"/>
        </w:rPr>
        <w:t>，</w:t>
      </w:r>
      <w:hyperlink r:id="rId61">
        <w:r>
          <w:rPr>
            <w:lang w:val="zh_TW" w:bidi="zh_TW"/>
          </w:rPr>
          <w:rPr>
            <w:color w:val="0000EE"/>
            <w:u w:val="single"/>
          </w:rPr>
          <w:t>18:4–5</w:t>
        </w:r>
      </w:hyperlink>
      <w:r>
        <w:rPr>
          <w:lang w:val="zh_TW" w:bidi="zh_TW"/>
        </w:rPr>
        <w:t>；</w:t>
      </w:r>
      <w:hyperlink r:id="rId62">
        <w:r>
          <w:rPr>
            <w:lang w:val="zh_TW" w:bidi="zh_TW"/>
          </w:rPr>
          <w:rPr>
            <w:color w:val="0000EE"/>
            <w:u w:val="single"/>
          </w:rPr>
          <w:t>出3:13–14</w:t>
        </w:r>
      </w:hyperlink>
      <w:r>
        <w:rPr>
          <w:lang w:val="zh_TW" w:bidi="zh_TW"/>
        </w:rPr>
        <w:t>）。</w:t>
      </w:r>
    </w:p>
    <w:p>
      <w:pPr/>
      <w:r>
        <w:rPr>
          <w:lang w:val="zh_TW" w:bidi="zh_TW"/>
        </w:rPr>
      </w:r>
      <w:r>
        <w:rPr>
          <w:lang w:val="zh_TW" w:bidi="zh_TW"/>
        </w:rPr>
        <w:t>聖靈。 約翰福音強調聖靈的工作是耶穌人類經歷的核心特徵（</w:t>
      </w:r>
      <w:hyperlink r:id="rId63">
        <w:r>
          <w:rPr>
            <w:lang w:val="zh_TW" w:bidi="zh_TW"/>
          </w:rPr>
          <w:rPr>
            <w:color w:val="0000EE"/>
            <w:u w:val="single"/>
          </w:rPr>
          <w:t>第4</w:t>
        </w:r>
      </w:hyperlink>
      <w:r>
        <w:rPr>
          <w:lang w:val="zh_TW" w:bidi="zh_TW"/>
        </w:rPr>
        <w:t>、</w:t>
      </w:r>
      <w:hyperlink r:id="rId64">
        <w:r>
          <w:rPr>
            <w:lang w:val="zh_TW" w:bidi="zh_TW"/>
          </w:rPr>
          <w:rPr>
            <w:color w:val="0000EE"/>
            <w:u w:val="single"/>
          </w:rPr>
          <w:t>7章</w:t>
        </w:r>
      </w:hyperlink>
      <w:r>
        <w:rPr>
          <w:lang w:val="zh_TW" w:bidi="zh_TW"/>
        </w:rPr>
        <w:t>）以及我們生命中的核心特徵（</w:t>
      </w:r>
      <w:hyperlink r:id="rId65">
        <w:r>
          <w:rPr>
            <w:lang w:val="zh_TW" w:bidi="zh_TW"/>
          </w:rPr>
          <w:rPr>
            <w:color w:val="0000EE"/>
            <w:u w:val="single"/>
          </w:rPr>
          <w:t>第3</w:t>
        </w:r>
      </w:hyperlink>
      <w:r>
        <w:rPr>
          <w:lang w:val="zh_TW" w:bidi="zh_TW"/>
        </w:rPr>
        <w:t>、</w:t>
      </w:r>
      <w:hyperlink r:id="rId66">
        <w:r>
          <w:rPr>
            <w:lang w:val="zh_TW" w:bidi="zh_TW"/>
          </w:rPr>
          <w:rPr>
            <w:color w:val="0000EE"/>
            <w:u w:val="single"/>
          </w:rPr>
          <w:t>14</w:t>
        </w:r>
      </w:hyperlink>
      <w:r>
        <w:rPr>
          <w:lang w:val="zh_TW" w:bidi="zh_TW"/>
        </w:rPr>
        <w:t>、</w:t>
      </w:r>
      <w:hyperlink r:id="rId67">
        <w:r>
          <w:rPr>
            <w:lang w:val="zh_TW" w:bidi="zh_TW"/>
          </w:rPr>
          <w:rPr>
            <w:color w:val="0000EE"/>
            <w:u w:val="single"/>
          </w:rPr>
          <w:t>16章</w:t>
        </w:r>
      </w:hyperlink>
      <w:r>
        <w:rPr>
          <w:lang w:val="zh_TW" w:bidi="zh_TW"/>
        </w:rPr>
        <w:t>）。神的靈所具有的改變力量是真正門徒的標誌。</w:t>
      </w:r>
    </w:p>
    <w:p>
      <w:pPr/>
      <w:r>
        <w:rPr>
          <w:lang w:val="zh_TW" w:bidi="zh_TW"/>
        </w:rPr>
      </w:r>
      <w:r>
        <w:rPr>
          <w:lang w:val="zh_TW" w:bidi="zh_TW"/>
        </w:rPr>
        <w:t>教會的使命。 神差遣耶穌到世上（</w:t>
      </w:r>
      <w:hyperlink r:id="rId68">
        <w:r>
          <w:rPr>
            <w:lang w:val="zh_TW" w:bidi="zh_TW"/>
          </w:rPr>
          <w:rPr>
            <w:color w:val="0000EE"/>
            <w:u w:val="single"/>
          </w:rPr>
          <w:t>8:18</w:t>
        </w:r>
      </w:hyperlink>
      <w:r>
        <w:rPr>
          <w:lang w:val="zh_TW" w:bidi="zh_TW"/>
        </w:rPr>
        <w:t>）宣揚祂的榮耀並見證救贖的好消息。祂離開後，聖子藉著聖靈（</w:t>
      </w:r>
      <w:hyperlink r:id="rId69">
        <w:r>
          <w:rPr>
            <w:lang w:val="zh_TW" w:bidi="zh_TW"/>
          </w:rPr>
          <w:rPr>
            <w:color w:val="0000EE"/>
            <w:u w:val="single"/>
          </w:rPr>
          <w:t>16:5–11</w:t>
        </w:r>
      </w:hyperlink>
      <w:r>
        <w:rPr>
          <w:lang w:val="zh_TW" w:bidi="zh_TW"/>
        </w:rPr>
        <w:t>）繼續這一使命，而聖靈則充滿教會並賜能力給信徒，以完成耶穌在世上的使命（</w:t>
      </w:r>
      <w:hyperlink r:id="rId70">
        <w:r>
          <w:rPr>
            <w:lang w:val="zh_TW" w:bidi="zh_TW"/>
          </w:rPr>
          <w:rPr>
            <w:color w:val="0000EE"/>
            <w:u w:val="single"/>
          </w:rPr>
          <w:t>20:20–23</w:t>
        </w:r>
      </w:hyperlink>
      <w:r>
        <w:rPr>
          <w:lang w:val="zh_TW" w:bidi="zh_TW"/>
        </w:rPr>
        <w:t>；</w:t>
      </w:r>
      <w:hyperlink r:id="rId71">
        <w:r>
          <w:rPr>
            <w:lang w:val="zh_TW" w:bidi="zh_TW"/>
          </w:rPr>
          <w:rPr>
            <w:color w:val="0000EE"/>
            <w:u w:val="single"/>
          </w:rPr>
          <w:t>太28:18–20</w:t>
        </w:r>
      </w:hyperlink>
      <w:r>
        <w:rPr>
          <w:lang w:val="zh_TW" w:bidi="zh_TW"/>
        </w:rPr>
        <w:t>；</w:t>
      </w:r>
      <w:hyperlink r:id="rId72">
        <w:r>
          <w:rPr>
            <w:lang w:val="zh_TW" w:bidi="zh_TW"/>
          </w:rPr>
          <w:rPr>
            <w:color w:val="0000EE"/>
            <w:u w:val="single"/>
          </w:rPr>
          <w:t>徒1:7–8</w:t>
        </w:r>
      </w:hyperlink>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hyperlink r:id="rId73">
        <w:r>
          <w:rPr>
            <w:lang w:val="zh_TW" w:bidi="zh_TW"/>
          </w:rPr>
          <w:rPr>
            <w:color w:val="0000EE"/>
            <w:u w:val="single"/>
          </w:rPr>
          <w:t>14:15–26</w:t>
        </w:r>
      </w:hyperlink>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