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w:t>
      </w:r>
      <w:r>
        <w:rPr>
          <w:lang w:val="ar_AE" w:bidi="ar_AE"/>
        </w:rPr>
      </w:r>
    </w:p>
    <w:p>
      <w:pPr>
        <w:bidi/>
      </w:pPr>
      <w:r>
        <w:rPr>
          <w:lang w:val="ar_AE" w:bidi="ar_AE"/>
        </w:rPr>
      </w:r>
      <w:r>
        <w:rPr>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lang w:val="ar_AE" w:bidi="ar_AE"/>
        </w:rPr>
        <w:t>ٱسْمَعُوا يَا يَهُوذَا وَسُكَّانَ أُورُشَلِيمَ، آمِنُوا بِٱلرَّبِّ إِلَهِكُمْ فَتَأْمَنُوا. آمِنُوا بِأَنْبِيَائِهِ فَتُفْلِحُوا</w:t>
      </w:r>
      <w:r>
        <w:rPr>
          <w:lang w:val="ar_AE" w:bidi="ar_AE"/>
        </w:rPr>
        <w:t>" (</w:t>
      </w:r>
      <w:hyperlink r:id="rId13">
        <w:r>
          <w:rPr>
            <w:lang w:val="ar_AE" w:bidi="ar_AE"/>
          </w:rPr>
          <w:rPr>
            <w:color w:val="0000EE"/>
            <w:u w:val="single"/>
          </w:rPr>
          <w:t>2 أخبار 20:20</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 xml:space="preserve">وقع غزو بابل على يهوذا في المدّة من 605 إلى 586 قبل الميلاد، أي قرنَين قبل كتابة أخبار الأيام (400 قبل الميلاد تقريبًا؛ انظر </w:t>
      </w:r>
      <w:r>
        <w:rPr>
          <w:lang w:val="ar_AE" w:bidi="ar_AE"/>
        </w:rPr>
        <w:t>مقدمة سِفر أخبار الأيام الأول</w:t>
      </w:r>
      <w:r>
        <w:rPr>
          <w:lang w:val="ar_AE" w:bidi="ar_AE"/>
        </w:rPr>
        <w:t>، "كاتِب السِفر والتاريخ").</w:t>
      </w:r>
    </w:p>
    <w:p>
      <w:pPr>
        <w:bidi/>
      </w:pPr>
      <w:r>
        <w:rPr>
          <w:lang w:val="ar_AE" w:bidi="ar_AE"/>
        </w:rPr>
      </w:r>
      <w:r>
        <w:rPr>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lang w:val="ar_AE" w:bidi="ar_AE"/>
        </w:rPr>
        <w:t>الخلاصة</w:t>
      </w:r>
    </w:p>
    <w:p>
      <w:pPr>
        <w:bidi/>
      </w:pPr>
      <w:r>
        <w:rPr>
          <w:lang w:val="ar_AE" w:bidi="ar_AE"/>
        </w:rPr>
      </w:r>
      <w:r>
        <w:rPr>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4">
        <w:r>
          <w:rPr>
            <w:lang w:val="ar_AE" w:bidi="ar_AE"/>
          </w:rPr>
          <w:rPr>
            <w:color w:val="0000EE"/>
            <w:u w:val="single"/>
          </w:rPr>
          <w:t>6:1–7:22</w:t>
        </w:r>
      </w:hyperlink>
      <w:r>
        <w:rPr>
          <w:lang w:val="ar_AE" w:bidi="ar_AE"/>
        </w:rPr>
        <w:t>). استجاب الله لصلاة سليمان في رؤية تعبر عن وجهة نظر الكاتب اللاهوتية الخاصة (</w:t>
      </w:r>
      <w:hyperlink r:id="rId15">
        <w:r>
          <w:rPr>
            <w:lang w:val="ar_AE" w:bidi="ar_AE"/>
          </w:rPr>
          <w:rPr>
            <w:color w:val="0000EE"/>
            <w:u w:val="single"/>
          </w:rPr>
          <w:t>7:12–22</w:t>
        </w:r>
      </w:hyperlink>
      <w:r>
        <w:rPr>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lang w:val="ar_AE" w:bidi="ar_AE"/>
        </w:rPr>
      </w:r>
      <w:r>
        <w:rPr>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6">
        <w:r>
          <w:rPr>
            <w:lang w:val="ar_AE" w:bidi="ar_AE"/>
          </w:rPr>
          <w:rPr>
            <w:color w:val="0000EE"/>
            <w:u w:val="single"/>
          </w:rPr>
          <w:t>28:5–15</w:t>
        </w:r>
      </w:hyperlink>
      <w:r>
        <w:rPr>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lang w:val="ar_AE" w:bidi="ar_AE"/>
        </w:rPr>
      </w:r>
      <w:r>
        <w:rPr>
          <w:lang w:val="ar_AE" w:bidi="ar_AE"/>
        </w:rPr>
        <w:t>يختلف تصوير الكاتب لملوك يهوذا عن الأوصاف الموازية لهم في سفر الملوك. فيظهر عُزّيّا كشخصية ثانوية في سفر الملوك (</w:t>
      </w:r>
      <w:hyperlink r:id="rId17">
        <w:r>
          <w:rPr>
            <w:lang w:val="ar_AE" w:bidi="ar_AE"/>
          </w:rPr>
          <w:rPr>
            <w:color w:val="0000EE"/>
            <w:u w:val="single"/>
          </w:rPr>
          <w:t>2 ملوك 15:1–7</w:t>
        </w:r>
      </w:hyperlink>
      <w:r>
        <w:rPr>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18">
        <w:r>
          <w:rPr>
            <w:lang w:val="ar_AE" w:bidi="ar_AE"/>
          </w:rPr>
          <w:rPr>
            <w:color w:val="0000EE"/>
            <w:u w:val="single"/>
          </w:rPr>
          <w:t>2 ملوك 15:32–38</w:t>
        </w:r>
      </w:hyperlink>
      <w:r>
        <w:rPr>
          <w:lang w:val="ar_AE" w:bidi="ar_AE"/>
        </w:rPr>
        <w:t>)، فإن عمله في سفر أخبار الأيام يُصوَّر على أنه واسع النطاق (</w:t>
      </w:r>
      <w:hyperlink r:id="rId19">
        <w:r>
          <w:rPr>
            <w:lang w:val="ar_AE" w:bidi="ar_AE"/>
          </w:rPr>
          <w:rPr>
            <w:color w:val="0000EE"/>
            <w:u w:val="single"/>
          </w:rPr>
          <w:t>2 أخبار 27:3–4</w:t>
        </w:r>
      </w:hyperlink>
      <w:r>
        <w:rPr>
          <w:lang w:val="ar_AE" w:bidi="ar_AE"/>
        </w:rPr>
        <w:t>). كما يوسع المؤرخ فهمنا لحزقيّا (</w:t>
      </w:r>
      <w:hyperlink r:id="rId20">
        <w:r>
          <w:rPr>
            <w:lang w:val="ar_AE" w:bidi="ar_AE"/>
          </w:rPr>
          <w:rPr>
            <w:color w:val="0000EE"/>
            <w:u w:val="single"/>
          </w:rPr>
          <w:t>29:1–32:33</w:t>
        </w:r>
      </w:hyperlink>
      <w:r>
        <w:rPr>
          <w:lang w:val="ar_AE" w:bidi="ar_AE"/>
        </w:rPr>
        <w:t>)، حيث يتناول بإسهاب إصلاحات حزقيّا واسترداد عبادة الهيكل، ويصف بالتفصيل كيف استعد حزقيّا لحصار الآشوريين لأورشليم.</w:t>
      </w:r>
    </w:p>
    <w:p>
      <w:pPr>
        <w:bidi/>
      </w:pPr>
      <w:r>
        <w:rPr>
          <w:lang w:val="ar_AE" w:bidi="ar_AE"/>
        </w:rPr>
      </w:r>
      <w:r>
        <w:rPr>
          <w:lang w:val="ar_AE" w:bidi="ar_AE"/>
        </w:rPr>
        <w:t>يتتبع النص عهود منسّى وآمون (</w:t>
      </w:r>
      <w:hyperlink r:id="rId21">
        <w:r>
          <w:rPr>
            <w:lang w:val="ar_AE" w:bidi="ar_AE"/>
          </w:rPr>
          <w:rPr>
            <w:color w:val="0000EE"/>
            <w:u w:val="single"/>
          </w:rPr>
          <w:t>33:1–25</w:t>
        </w:r>
      </w:hyperlink>
      <w:r>
        <w:rPr>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lang w:val="ar_AE" w:bidi="ar_AE"/>
        </w:rPr>
      </w:r>
      <w:r>
        <w:rPr>
          <w:lang w:val="ar_AE" w:bidi="ar_AE"/>
        </w:rPr>
        <w:t>كان حُكم يوشيّا (</w:t>
      </w:r>
      <w:hyperlink r:id="rId22">
        <w:r>
          <w:rPr>
            <w:lang w:val="ar_AE" w:bidi="ar_AE"/>
          </w:rPr>
          <w:rPr>
            <w:color w:val="0000EE"/>
            <w:u w:val="single"/>
          </w:rPr>
          <w:t>34:1–35:27</w:t>
        </w:r>
      </w:hyperlink>
      <w:r>
        <w:rPr>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3">
        <w:r>
          <w:rPr>
            <w:lang w:val="ar_AE" w:bidi="ar_AE"/>
          </w:rPr>
          <w:rPr>
            <w:color w:val="0000EE"/>
            <w:u w:val="single"/>
          </w:rPr>
          <w:t>36:2–21</w:t>
        </w:r>
      </w:hyperlink>
      <w:r>
        <w:rPr>
          <w:lang w:val="ar_AE" w:bidi="ar_AE"/>
        </w:rPr>
        <w:t>). كان قد حان وقت حصاد خيانة العهد من قِبَل شعب يهوذا.</w:t>
      </w:r>
    </w:p>
    <w:p>
      <w:pPr>
        <w:bidi/>
      </w:pPr>
      <w:r>
        <w:rPr>
          <w:lang w:val="ar_AE" w:bidi="ar_AE"/>
        </w:rPr>
      </w:r>
      <w:r>
        <w:rPr>
          <w:lang w:val="ar_AE" w:bidi="ar_AE"/>
        </w:rPr>
        <w:t>يُختَتَم السرد ببصيص من الرجاء وهو: إعلان كورش في عام 538 قبل الميلاد الذي سمح لليهود بالعودة إلى يهوذا وإعادة بناء أورشليم (</w:t>
      </w:r>
      <w:hyperlink r:id="rId24">
        <w:r>
          <w:rPr>
            <w:lang w:val="ar_AE" w:bidi="ar_AE"/>
          </w:rPr>
          <w:rPr>
            <w:color w:val="0000EE"/>
            <w:u w:val="single"/>
          </w:rPr>
          <w:t>36:22–23</w:t>
        </w:r>
      </w:hyperlink>
      <w:r>
        <w:rPr>
          <w:lang w:val="ar_AE" w:bidi="ar_AE"/>
        </w:rPr>
        <w:t>).</w:t>
      </w:r>
    </w:p>
    <w:p>
      <w:pPr>
        <w:pStyle w:val="Heading2"/>
        <w:bidi/>
      </w:pPr>
      <w:r>
        <w:rPr>
          <w:lang w:val="ar_AE" w:bidi="ar_AE"/>
        </w:rPr>
        <w:t>أخبار الأيام كتأريخ</w:t>
      </w:r>
    </w:p>
    <w:p>
      <w:pPr>
        <w:bidi/>
      </w:pPr>
      <w:r>
        <w:rPr>
          <w:lang w:val="ar_AE" w:bidi="ar_AE"/>
        </w:rPr>
      </w:r>
      <w:r>
        <w:rPr>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lang w:val="ar_AE" w:bidi="ar_AE"/>
        </w:rPr>
      </w:r>
      <w:r>
        <w:rPr>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lang w:val="ar_AE" w:bidi="ar_AE"/>
        </w:rPr>
        <w:t>المعنى والرسالة</w:t>
      </w:r>
    </w:p>
    <w:p>
      <w:pPr>
        <w:bidi/>
      </w:pPr>
      <w:r>
        <w:rPr>
          <w:lang w:val="ar_AE" w:bidi="ar_AE"/>
        </w:rPr>
      </w:r>
      <w:r>
        <w:rPr>
          <w:lang w:val="ar_AE" w:bidi="ar_AE"/>
        </w:rPr>
        <w:t xml:space="preserve">كان سؤالًا جوهريًا للمجتمع المستعاد في يهوذا بعد السبي هو: </w:t>
      </w:r>
      <w:r>
        <w:rPr>
          <w:i/>
          <w:lang w:val="ar_AE" w:bidi="ar_AE"/>
        </w:rPr>
        <w:t>ما هي علاقتنا بإسرائيل الماضي؟</w:t>
      </w:r>
      <w:r>
        <w:rPr>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lang w:val="ar_AE" w:bidi="ar_AE"/>
        </w:rPr>
      </w:r>
      <w:r>
        <w:rPr>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lang w:val="ar_AE" w:bidi="ar_AE"/>
        </w:rPr>
      </w:r>
      <w:r>
        <w:rPr>
          <w:lang w:val="ar_AE" w:bidi="ar_AE"/>
        </w:rPr>
        <w:t>يُصور سفر أخبار الأيام حِقْبَة داود وسليمان زمنًا مثاليًا حيث اتحد جميع إسرائيل في العبادة (</w:t>
      </w:r>
      <w:hyperlink r:id="rId25">
        <w:r>
          <w:rPr>
            <w:lang w:val="ar_AE" w:bidi="ar_AE"/>
          </w:rPr>
          <w:rPr>
            <w:color w:val="0000EE"/>
            <w:u w:val="single"/>
          </w:rPr>
          <w:t>7:8</w:t>
        </w:r>
      </w:hyperlink>
      <w:r>
        <w:rPr>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lang w:val="ar_AE" w:bidi="ar_AE"/>
        </w:rPr>
      </w:r>
      <w:r>
        <w:rPr>
          <w:lang w:val="ar_AE" w:bidi="ar_AE"/>
        </w:rPr>
        <w:t>يعدّ الكاتب عهد سليمان مماثلًا لعهد داود، حيث إن سليمان نفذ خطط داود لبناء الهيكل وإقامة العبادة هناك (</w:t>
      </w:r>
      <w:hyperlink r:id="rId26">
        <w:r>
          <w:rPr>
            <w:lang w:val="ar_AE" w:bidi="ar_AE"/>
          </w:rPr>
          <w:rPr>
            <w:color w:val="0000EE"/>
            <w:u w:val="single"/>
          </w:rPr>
          <w:t>3:1</w:t>
        </w:r>
      </w:hyperlink>
      <w:r>
        <w:rPr>
          <w:lang w:val="ar_AE" w:bidi="ar_AE"/>
        </w:rPr>
        <w:t xml:space="preserve">; </w:t>
      </w:r>
      <w:hyperlink r:id="rId27">
        <w:r>
          <w:rPr>
            <w:lang w:val="ar_AE" w:bidi="ar_AE"/>
          </w:rPr>
          <w:rPr>
            <w:color w:val="0000EE"/>
            <w:u w:val="single"/>
          </w:rPr>
          <w:t>5:1</w:t>
        </w:r>
      </w:hyperlink>
      <w:r>
        <w:rPr>
          <w:lang w:val="ar_AE" w:bidi="ar_AE"/>
        </w:rPr>
        <w:t xml:space="preserve">; </w:t>
      </w:r>
      <w:hyperlink r:id="rId28">
        <w:r>
          <w:rPr>
            <w:lang w:val="ar_AE" w:bidi="ar_AE"/>
          </w:rPr>
          <w:rPr>
            <w:color w:val="0000EE"/>
            <w:u w:val="single"/>
          </w:rPr>
          <w:t>7:1</w:t>
        </w:r>
      </w:hyperlink>
      <w:r>
        <w:rPr>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29">
        <w:r>
          <w:rPr>
            <w:lang w:val="ar_AE" w:bidi="ar_AE"/>
          </w:rPr>
          <w:rPr>
            <w:color w:val="0000EE"/>
            <w:u w:val="single"/>
          </w:rPr>
          <w:t>13:6–7</w:t>
        </w:r>
      </w:hyperlink>
      <w:r>
        <w:rPr>
          <w:lang w:val="ar_AE" w:bidi="ar_AE"/>
        </w:rPr>
        <w:t>). تُظهر ثروة سليمان وتأثيره الدُّوَليّ عهده المجيد والسلمي والعادل.</w:t>
      </w:r>
    </w:p>
    <w:p>
      <w:pPr>
        <w:bidi/>
      </w:pPr>
      <w:r>
        <w:rPr>
          <w:lang w:val="ar_AE" w:bidi="ar_AE"/>
        </w:rPr>
      </w:r>
      <w:r>
        <w:rPr>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lang w:val="ar_AE" w:bidi="ar_AE"/>
        </w:rPr>
      </w:r>
      <w:r>
        <w:rPr>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0">
        <w:r>
          <w:rPr>
            <w:lang w:val="ar_AE" w:bidi="ar_AE"/>
          </w:rPr>
          <w:rPr>
            <w:color w:val="0000EE"/>
            <w:u w:val="single"/>
          </w:rPr>
          <w:t>28:2،</w:t>
        </w:r>
      </w:hyperlink>
      <w:r>
        <w:rPr>
          <w:lang w:val="ar_AE" w:bidi="ar_AE"/>
        </w:rPr>
        <w:t xml:space="preserve"> </w:t>
      </w:r>
      <w:hyperlink r:id="rId31">
        <w:r>
          <w:rPr>
            <w:lang w:val="ar_AE" w:bidi="ar_AE"/>
          </w:rPr>
          <w:rPr>
            <w:color w:val="0000EE"/>
            <w:u w:val="single"/>
          </w:rPr>
          <w:t>6</w:t>
        </w:r>
      </w:hyperlink>
      <w:r>
        <w:rPr>
          <w:lang w:val="ar_AE" w:bidi="ar_AE"/>
        </w:rPr>
        <w:t>)، في حين اعترف قادة إسرائيل بخطاياهم (</w:t>
      </w:r>
      <w:hyperlink r:id="rId32">
        <w:r>
          <w:rPr>
            <w:lang w:val="ar_AE" w:bidi="ar_AE"/>
          </w:rPr>
          <w:rPr>
            <w:color w:val="0000EE"/>
            <w:u w:val="single"/>
          </w:rPr>
          <w:t>28:13</w:t>
        </w:r>
      </w:hyperlink>
      <w:r>
        <w:rPr>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3">
        <w:r>
          <w:rPr>
            <w:lang w:val="ar_AE" w:bidi="ar_AE"/>
          </w:rPr>
          <w:rPr>
            <w:color w:val="0000EE"/>
            <w:u w:val="single"/>
          </w:rPr>
          <w:t>30:11</w:t>
        </w:r>
      </w:hyperlink>
      <w:r>
        <w:rPr>
          <w:lang w:val="ar_AE" w:bidi="ar_AE"/>
        </w:rPr>
        <w:t>)؛ ولم يُعقد احتفالًا مماثلًا منذ زمن سليمان (</w:t>
      </w:r>
      <w:hyperlink r:id="rId34">
        <w:r>
          <w:rPr>
            <w:lang w:val="ar_AE" w:bidi="ar_AE"/>
          </w:rPr>
          <w:rPr>
            <w:color w:val="0000EE"/>
            <w:u w:val="single"/>
          </w:rPr>
          <w:t>30:26</w:t>
        </w:r>
      </w:hyperlink>
      <w:r>
        <w:rPr>
          <w:lang w:val="ar_AE" w:bidi="ar_AE"/>
        </w:rPr>
        <w:t>). يوفر عيد الفصح لحزقيّا نموذجًا لاستعادة إسرائيل كمملكة موحدة.</w:t>
      </w:r>
    </w:p>
    <w:p>
      <w:pPr>
        <w:bidi/>
      </w:pPr>
      <w:r>
        <w:rPr>
          <w:lang w:val="ar_AE" w:bidi="ar_AE"/>
        </w:rPr>
      </w:r>
      <w:r>
        <w:rPr>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