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3">
        <w:r>
          <w:rPr>
            <w:lang w:val="hi_IN" w:bidi="hi_IN"/>
          </w:rPr>
          <w:rPr>
            <w:color w:val="0000EE"/>
            <w:u w:val="single"/>
          </w:rPr>
          <w:t>2 रा 15:32–38</w:t>
        </w:r>
      </w:hyperlink>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4">
        <w:r>
          <w:rPr>
            <w:lang w:val="hi_IN" w:bidi="hi_IN"/>
          </w:rPr>
          <w:rPr>
            <w:color w:val="0000EE"/>
            <w:u w:val="single"/>
          </w:rPr>
          <w:t>2 रा 16:1–4</w:t>
        </w:r>
      </w:hyperlink>
      <w:r>
        <w:rPr>
          <w:lang w:val="hi_IN" w:bidi="hi_IN"/>
        </w:rPr>
        <w:t>)। जब एदोमियों और पलिश्तियों ने रसीन और पेकह द्वारा विजय प्राप्त दक्षिणी पलिश्तीन के क्षेत्रों में प्रवेश किया (</w:t>
      </w:r>
      <w:hyperlink r:id="rId15">
        <w:r>
          <w:rPr>
            <w:lang w:val="hi_IN" w:bidi="hi_IN"/>
          </w:rPr>
          <w:rPr>
            <w:color w:val="0000EE"/>
            <w:u w:val="single"/>
          </w:rPr>
          <w:t>2 रा 16:5–6;</w:t>
        </w:r>
      </w:hyperlink>
      <w:hyperlink r:id="rId16">
        <w:r>
          <w:rPr>
            <w:lang w:val="hi_IN" w:bidi="hi_IN"/>
          </w:rPr>
          <w:rPr>
            <w:color w:val="0000EE"/>
            <w:u w:val="single"/>
          </w:rPr>
          <w:t>2 इति 28:18</w:t>
        </w:r>
      </w:hyperlink>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hyperlink r:id="rId17">
        <w:r>
          <w:rPr>
            <w:lang w:val="hi_IN" w:bidi="hi_IN"/>
          </w:rPr>
          <w:rPr>
            <w:color w:val="0000EE"/>
            <w:u w:val="single"/>
          </w:rPr>
          <w:t>2 रा 16:7–9</w:t>
        </w:r>
      </w:hyperlink>
      <w:r>
        <w:rPr>
          <w:lang w:val="hi_IN" w:bidi="hi_IN"/>
        </w:rPr>
        <w:t>)। आहाज ने यरूशलेम में अन्यजातियों की वेदियों को लाकर (</w:t>
      </w:r>
      <w:hyperlink r:id="rId18">
        <w:r>
          <w:rPr>
            <w:lang w:val="hi_IN" w:bidi="hi_IN"/>
          </w:rPr>
          <w:rPr>
            <w:color w:val="0000EE"/>
            <w:u w:val="single"/>
          </w:rPr>
          <w:t>2 रा 16:10–13</w:t>
        </w:r>
      </w:hyperlink>
      <w:r>
        <w:rPr>
          <w:lang w:val="hi_IN" w:bidi="hi_IN"/>
        </w:rPr>
        <w:t>), यहूदा की आराधना को भ्रष्ट किया और यहोवा की आराधना को बाधित किया (</w:t>
      </w:r>
      <w:hyperlink r:id="rId19">
        <w:r>
          <w:rPr>
            <w:lang w:val="hi_IN" w:bidi="hi_IN"/>
          </w:rPr>
          <w:rPr>
            <w:color w:val="0000EE"/>
            <w:u w:val="single"/>
          </w:rPr>
          <w:t>2 रा 16:14–20</w:t>
        </w:r>
      </w:hyperlink>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0">
        <w:r>
          <w:rPr>
            <w:lang w:val="hi_IN" w:bidi="hi_IN"/>
          </w:rPr>
          <w:rPr>
            <w:color w:val="0000EE"/>
            <w:u w:val="single"/>
          </w:rPr>
          <w:t>2 रा 18:1–19:37</w:t>
        </w:r>
      </w:hyperlink>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1">
        <w:r>
          <w:rPr>
            <w:lang w:val="hi_IN" w:bidi="hi_IN"/>
          </w:rPr>
          <w:rPr>
            <w:color w:val="0000EE"/>
            <w:u w:val="single"/>
          </w:rPr>
          <w:t>2 रा 20:12–21</w:t>
        </w:r>
      </w:hyperlink>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2">
        <w:r>
          <w:rPr>
            <w:lang w:val="hi_IN" w:bidi="hi_IN"/>
          </w:rPr>
          <w:rPr>
            <w:color w:val="0000EE"/>
            <w:u w:val="single"/>
          </w:rPr>
          <w:t>2 रा 15:28</w:t>
        </w:r>
      </w:hyperlink>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hyperlink r:id="rId23">
        <w:r>
          <w:rPr>
            <w:lang w:val="hi_IN" w:bidi="hi_IN"/>
          </w:rPr>
          <w:rPr>
            <w:color w:val="0000EE"/>
            <w:u w:val="single"/>
          </w:rPr>
          <w:t>2 रा 15:29</w:t>
        </w:r>
      </w:hyperlink>
      <w:r>
        <w:rPr>
          <w:lang w:val="hi_IN" w:bidi="hi_IN"/>
        </w:rPr>
        <w:t>)। पेकह की हत्या होशे द्वारा की गई थी, जो 722 ई.पू. में सामरिया के पतन तक शासन करते रहे (</w:t>
      </w:r>
      <w:hyperlink r:id="rId24">
        <w:r>
          <w:rPr>
            <w:lang w:val="hi_IN" w:bidi="hi_IN"/>
          </w:rPr>
          <w:rPr>
            <w:color w:val="0000EE"/>
            <w:u w:val="single"/>
          </w:rPr>
          <w:t>2 रा 15:30–31</w:t>
        </w:r>
      </w:hyperlink>
      <w:r>
        <w:rPr>
          <w:lang w:val="hi_IN" w:bidi="hi_IN"/>
        </w:rPr>
        <w:t xml:space="preserve">; </w:t>
      </w:r>
      <w:hyperlink r:id="rId25">
        <w:r>
          <w:rPr>
            <w:lang w:val="hi_IN" w:bidi="hi_IN"/>
          </w:rPr>
          <w:rPr>
            <w:color w:val="0000EE"/>
            <w:u w:val="single"/>
          </w:rPr>
          <w:t>17:6</w:t>
        </w:r>
      </w:hyperlink>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6">
        <w:r>
          <w:rPr>
            <w:lang w:val="hi_IN" w:bidi="hi_IN"/>
          </w:rPr>
          <w:rPr>
            <w:color w:val="0000EE"/>
            <w:u w:val="single"/>
          </w:rPr>
          <w:t>2 रा 17:5–6</w:t>
        </w:r>
      </w:hyperlink>
      <w:r>
        <w:rPr>
          <w:lang w:val="hi_IN" w:bidi="hi_IN"/>
        </w:rPr>
        <w:t>), और विभिन्न राष्ट्रों के लोगों को इस्राएल की नष्ट भूमि में बसने के लिए लाया गया (</w:t>
      </w:r>
      <w:hyperlink r:id="rId27">
        <w:r>
          <w:rPr>
            <w:lang w:val="hi_IN" w:bidi="hi_IN"/>
          </w:rPr>
          <w:rPr>
            <w:color w:val="0000EE"/>
            <w:u w:val="single"/>
          </w:rPr>
          <w:t>2 रा 17:24–41</w:t>
        </w:r>
      </w:hyperlink>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hyperlink r:id="rId28">
        <w:r>
          <w:rPr>
            <w:lang w:val="hi_IN" w:bidi="hi_IN"/>
          </w:rPr>
          <w:rPr>
            <w:color w:val="0000EE"/>
            <w:u w:val="single"/>
          </w:rPr>
          <w:t>1:1</w:t>
        </w:r>
      </w:hyperlink>
      <w:r>
        <w:rPr>
          <w:lang w:val="hi_IN" w:bidi="hi_IN"/>
        </w:rPr>
        <w:t>), तीनों खंडों की शुरुआत इस्राएल को “सुनने” के लिए बुलाने से होती है (</w:t>
      </w:r>
      <w:hyperlink r:id="rId29">
        <w:r>
          <w:rPr>
            <w:lang w:val="hi_IN" w:bidi="hi_IN"/>
          </w:rPr>
          <w:rPr>
            <w:color w:val="0000EE"/>
            <w:u w:val="single"/>
          </w:rPr>
          <w:t>1:2–2:13</w:t>
        </w:r>
      </w:hyperlink>
      <w:r>
        <w:rPr>
          <w:lang w:val="hi_IN" w:bidi="hi_IN"/>
        </w:rPr>
        <w:t xml:space="preserve">; </w:t>
      </w:r>
      <w:hyperlink r:id="rId30">
        <w:r>
          <w:rPr>
            <w:lang w:val="hi_IN" w:bidi="hi_IN"/>
          </w:rPr>
          <w:rPr>
            <w:color w:val="0000EE"/>
            <w:u w:val="single"/>
          </w:rPr>
          <w:t>3:1–5:15</w:t>
        </w:r>
      </w:hyperlink>
      <w:r>
        <w:rPr>
          <w:lang w:val="hi_IN" w:bidi="hi_IN"/>
        </w:rPr>
        <w:t xml:space="preserve">; </w:t>
      </w:r>
      <w:hyperlink r:id="rId31">
        <w:r>
          <w:rPr>
            <w:lang w:val="hi_IN" w:bidi="hi_IN"/>
          </w:rPr>
          <w:rPr>
            <w:color w:val="0000EE"/>
            <w:u w:val="single"/>
          </w:rPr>
          <w:t>6:1–7:6</w:t>
        </w:r>
      </w:hyperlink>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hyperlink r:id="rId32">
        <w:r>
          <w:rPr>
            <w:lang w:val="hi_IN" w:bidi="hi_IN"/>
          </w:rPr>
          <w:rPr>
            <w:color w:val="0000EE"/>
            <w:u w:val="single"/>
          </w:rPr>
          <w:t>2:12–13</w:t>
        </w:r>
      </w:hyperlink>
      <w:r>
        <w:rPr>
          <w:lang w:val="hi_IN" w:bidi="hi_IN"/>
        </w:rPr>
        <w:t xml:space="preserve">; </w:t>
      </w:r>
      <w:hyperlink r:id="rId33">
        <w:r>
          <w:rPr>
            <w:lang w:val="hi_IN" w:bidi="hi_IN"/>
          </w:rPr>
          <w:rPr>
            <w:color w:val="0000EE"/>
            <w:u w:val="single"/>
          </w:rPr>
          <w:t>4:1–8</w:t>
        </w:r>
      </w:hyperlink>
      <w:r>
        <w:rPr>
          <w:lang w:val="hi_IN" w:bidi="hi_IN"/>
        </w:rPr>
        <w:t xml:space="preserve">,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5:2–15</w:t>
        </w:r>
      </w:hyperlink>
      <w:r>
        <w:rPr>
          <w:lang w:val="hi_IN" w:bidi="hi_IN"/>
        </w:rPr>
        <w:t xml:space="preserve">; </w:t>
      </w:r>
      <w:hyperlink r:id="rId36">
        <w:r>
          <w:rPr>
            <w:lang w:val="hi_IN" w:bidi="hi_IN"/>
          </w:rPr>
          <w:rPr>
            <w:color w:val="0000EE"/>
            <w:u w:val="single"/>
          </w:rPr>
          <w:t>7:7–20</w:t>
        </w:r>
      </w:hyperlink>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hyperlink r:id="rId37">
        <w:r>
          <w:rPr>
            <w:lang w:val="hi_IN" w:bidi="hi_IN"/>
          </w:rPr>
          <w:rPr>
            <w:color w:val="0000EE"/>
            <w:u w:val="single"/>
          </w:rPr>
          <w:t>4:6–8</w:t>
        </w:r>
      </w:hyperlink>
      <w:r>
        <w:rPr>
          <w:lang w:val="hi_IN" w:bidi="hi_IN"/>
        </w:rPr>
        <w:t xml:space="preserve"> और </w:t>
      </w:r>
      <w:hyperlink r:id="rId38">
        <w:r>
          <w:rPr>
            <w:lang w:val="hi_IN" w:bidi="hi_IN"/>
          </w:rPr>
          <w:rPr>
            <w:color w:val="0000EE"/>
            <w:u w:val="single"/>
          </w:rPr>
          <w:t>7:8–20</w:t>
        </w:r>
      </w:hyperlink>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39">
        <w:r>
          <w:rPr>
            <w:lang w:val="hi_IN" w:bidi="hi_IN"/>
          </w:rPr>
          <w:rPr>
            <w:color w:val="0000EE"/>
            <w:u w:val="single"/>
          </w:rPr>
          <w:t>यशा 52:4–12</w:t>
        </w:r>
      </w:hyperlink>
      <w:r>
        <w:rPr>
          <w:lang w:val="hi_IN" w:bidi="hi_IN"/>
        </w:rPr>
        <w:t xml:space="preserve">; </w:t>
      </w:r>
      <w:hyperlink r:id="rId40">
        <w:r>
          <w:rPr>
            <w:lang w:val="hi_IN" w:bidi="hi_IN"/>
          </w:rPr>
          <w:rPr>
            <w:color w:val="0000EE"/>
            <w:u w:val="single"/>
          </w:rPr>
          <w:t>होश 11:10–11</w:t>
        </w:r>
      </w:hyperlink>
      <w:r>
        <w:rPr>
          <w:lang w:val="hi_IN" w:bidi="hi_IN"/>
        </w:rPr>
        <w:t xml:space="preserve">; </w:t>
      </w:r>
      <w:hyperlink r:id="rId41">
        <w:r>
          <w:rPr>
            <w:lang w:val="hi_IN" w:bidi="hi_IN"/>
          </w:rPr>
          <w:rPr>
            <w:color w:val="0000EE"/>
            <w:u w:val="single"/>
          </w:rPr>
          <w:t>आमो 9:11–15</w:t>
        </w:r>
      </w:hyperlink>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28">
        <w:r>
          <w:rPr>
            <w:lang w:val="hi_IN" w:bidi="hi_IN"/>
          </w:rPr>
          <w:rPr>
            <w:color w:val="0000EE"/>
            <w:u w:val="single"/>
          </w:rPr>
          <w:t>मीक 1:1</w:t>
        </w:r>
      </w:hyperlink>
      <w:r>
        <w:rPr>
          <w:lang w:val="hi_IN" w:bidi="hi_IN"/>
        </w:rPr>
        <w:t xml:space="preserve">, </w:t>
      </w:r>
      <w:hyperlink r:id="rId42">
        <w:r>
          <w:rPr>
            <w:lang w:val="hi_IN" w:bidi="hi_IN"/>
          </w:rPr>
          <w:rPr>
            <w:color w:val="0000EE"/>
            <w:u w:val="single"/>
          </w:rPr>
          <w:t>6</w:t>
        </w:r>
      </w:hyperlink>
      <w:r>
        <w:rPr>
          <w:lang w:val="hi_IN" w:bidi="hi_IN"/>
        </w:rPr>
        <w:t xml:space="preserve">; </w:t>
      </w:r>
      <w:hyperlink r:id="rId43">
        <w:r>
          <w:rPr>
            <w:lang w:val="hi_IN" w:bidi="hi_IN"/>
          </w:rPr>
          <w:rPr>
            <w:color w:val="0000EE"/>
            <w:u w:val="single"/>
          </w:rPr>
          <w:t>6:16</w:t>
        </w:r>
      </w:hyperlink>
      <w:r>
        <w:rPr>
          <w:lang w:val="hi_IN" w:bidi="hi_IN"/>
        </w:rPr>
        <w:t xml:space="preserve">)। 701 ई.पू. में इस्राएल और यहूदा में अश्शूरी आक्रमण का उल्लेख </w:t>
      </w:r>
      <w:hyperlink r:id="rId44">
        <w:r>
          <w:rPr>
            <w:lang w:val="hi_IN" w:bidi="hi_IN"/>
          </w:rPr>
          <w:rPr>
            <w:color w:val="0000EE"/>
            <w:u w:val="single"/>
          </w:rPr>
          <w:t>1:10–15</w:t>
        </w:r>
      </w:hyperlink>
      <w:r>
        <w:rPr>
          <w:lang w:val="hi_IN" w:bidi="hi_IN"/>
        </w:rPr>
        <w:t xml:space="preserve"> में है। यरूशलेम के पतन के बारे में मीका की भविष्यवाणी (</w:t>
      </w:r>
      <w:hyperlink r:id="rId45">
        <w:r>
          <w:rPr>
            <w:lang w:val="hi_IN" w:bidi="hi_IN"/>
          </w:rPr>
          <w:rPr>
            <w:color w:val="0000EE"/>
            <w:u w:val="single"/>
          </w:rPr>
          <w:t>3:12</w:t>
        </w:r>
      </w:hyperlink>
      <w:r>
        <w:rPr>
          <w:lang w:val="hi_IN" w:bidi="hi_IN"/>
        </w:rPr>
        <w:t>) हिजकिय्याह के शासनकाल (728–686 ई.पू.) के दौरान दी गई थी और इसके बहुत बाद में यिर्मयाह द्वारा उल्लेख किया गया है (</w:t>
      </w:r>
      <w:hyperlink r:id="rId46">
        <w:r>
          <w:rPr>
            <w:lang w:val="hi_IN" w:bidi="hi_IN"/>
          </w:rPr>
          <w:rPr>
            <w:color w:val="0000EE"/>
            <w:u w:val="single"/>
          </w:rPr>
          <w:t>यिर्म 26:16–19</w:t>
        </w:r>
      </w:hyperlink>
      <w:r>
        <w:rPr>
          <w:lang w:val="hi_IN" w:bidi="hi_IN"/>
        </w:rPr>
        <w:t xml:space="preserve">)। इस प्रकार मीका की सेवकाई यशायाह के साथ निकटता से मेल खाती प्रतीत होती है; </w:t>
      </w:r>
      <w:hyperlink r:id="rId47">
        <w:r>
          <w:rPr>
            <w:lang w:val="hi_IN" w:bidi="hi_IN"/>
          </w:rPr>
          <w:rPr>
            <w:color w:val="0000EE"/>
            <w:u w:val="single"/>
          </w:rPr>
          <w:t>यशायाह 2:2–5</w:t>
        </w:r>
      </w:hyperlink>
      <w:r>
        <w:rPr>
          <w:lang w:val="hi_IN" w:bidi="hi_IN"/>
        </w:rPr>
        <w:t xml:space="preserve"> और </w:t>
      </w:r>
      <w:hyperlink r:id="rId48">
        <w:r>
          <w:rPr>
            <w:lang w:val="hi_IN" w:bidi="hi_IN"/>
          </w:rPr>
          <w:rPr>
            <w:color w:val="0000EE"/>
            <w:u w:val="single"/>
          </w:rPr>
          <w:t>मीका 4:1–4</w:t>
        </w:r>
      </w:hyperlink>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49">
        <w:r>
          <w:rPr>
            <w:lang w:val="hi_IN" w:bidi="hi_IN"/>
          </w:rPr>
          <w:rPr>
            <w:color w:val="0000EE"/>
            <w:u w:val="single"/>
          </w:rPr>
          <w:t>5:2</w:t>
        </w:r>
      </w:hyperlink>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0">
        <w:r>
          <w:rPr>
            <w:lang w:val="hi_IN" w:bidi="hi_IN"/>
          </w:rPr>
          <w:rPr>
            <w:color w:val="0000EE"/>
            <w:u w:val="single"/>
          </w:rPr>
          <w:t>2 पत 3:13</w:t>
        </w:r>
      </w:hyperlink>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1">
        <w:r>
          <w:rPr>
            <w:lang w:val="hi_IN" w:bidi="hi_IN"/>
          </w:rPr>
          <w:rPr>
            <w:color w:val="0000EE"/>
            <w:u w:val="single"/>
          </w:rPr>
          <w:t>मीक 5:2–5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