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NUM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Nombres</w:t>
      </w:r>
      <w:r>
        <w:rPr>
          <w:lang w:val="fr_FR" w:bidi="fr_FR"/>
        </w:rPr>
      </w:r>
    </w:p>
    <w:p>
      <w:pPr/>
      <w:r>
        <w:rPr>
          <w:lang w:val="fr_FR" w:bidi="fr_FR"/>
        </w:rPr>
      </w:r>
      <w:r>
        <w:rPr>
          <w:lang w:val="fr_FR" w:bidi="fr_FR"/>
        </w:rPr>
        <w:t>Le livre des Nombres raconte l’histoire d’Israël dans le désert, en chemin vers la Terre Promise depuis le mont Sinaï. Alors que Moïse conduit Israël d’Égypte à Canaan, Dieu éprouve son peuple dans le creuset du désert pour savoir s’il restera fidèle en tant que nation unifiée. Le livre des Nombres témoigne de leurs succès et de leurs échecs. La désobéissance d’Israël a conduit au jugement du Seigneur, mais ce jugement est toujours contrebalancé par sa patience infinie, qui cherche à élever une nouvelle génération pour accomplir son plan. À travers ses nombreux récits et l’exposé détaillé des lois divines, le livre des Nombres nous propose un récit détaillé de la nature de Dieu, de son alliance et de son dessein pour son peuple.</w:t>
      </w:r>
    </w:p>
    <w:p>
      <w:pPr>
        <w:pStyle w:val="Heading2"/>
      </w:pPr>
      <w:r>
        <w:rPr>
          <w:lang w:val="fr_FR" w:bidi="fr_FR"/>
        </w:rPr>
        <w:t>Contexte</w:t>
      </w:r>
    </w:p>
    <w:p>
      <w:pPr/>
      <w:r>
        <w:rPr>
          <w:lang w:val="fr_FR" w:bidi="fr_FR"/>
        </w:rPr>
      </w:r>
      <w:r>
        <w:rPr>
          <w:lang w:val="fr_FR" w:bidi="fr_FR"/>
        </w:rPr>
        <w:t>Après avoir quitté l’Égypte, les Israélites se sont rendus au mont Sinaï, où Dieu leur a remis la loi (voir le livre de l’Exode). Ils sont restés un an au Sinaï avant de traverser le désert en direction de la Transjordanie (la région à l’est du Jourdain), où ils ont installé leur camp dans les plaines de Moab. Dans le désert, Dieu a mis Israël à l’épreuve, alors que la génération sortie d’Égypte disparaissait et qu’une nouvelle génération se préparait à entrer dans la Terre Promise. Le livre des Nombres s’adresse à cette nouvelle génération, installée dans les plaines de Moab, pour lui enseigner l’importance de l’obéissance au Seigneur.</w:t>
      </w:r>
    </w:p>
    <w:p>
      <w:pPr/>
      <w:r>
        <w:rPr>
          <w:lang w:val="fr_FR" w:bidi="fr_FR"/>
        </w:rPr>
      </w:r>
      <w:r>
        <w:rPr>
          <w:lang w:val="fr_FR" w:bidi="fr_FR"/>
        </w:rPr>
        <w:t>Israël a été formé et purifié durant ce séjour dans le désert. Grâce aux efforts littéraires de Moïse (et à ceux des scribes et éditeurs ultérieurs), le livre des Nombres a permis aux générations successives d’entendre cette histoire. Il est ainsi devenu un élément essentiel de la mémoire hébraïque. Ainsi, il est devenu un élément fondamental de la mémoire hébraïque. Le livre des Nombres a été rédigé afin que ceux qui en tirent enseignement n’aient pas à répéter les erreurs du passé</w:t>
      </w:r>
    </w:p>
    <w:p>
      <w:pPr>
        <w:pStyle w:val="Heading2"/>
      </w:pPr>
      <w:r>
        <w:rPr>
          <w:lang w:val="fr_FR" w:bidi="fr_FR"/>
        </w:rPr>
        <w:t>Résumé</w:t>
      </w:r>
    </w:p>
    <w:p>
      <w:pPr/>
      <w:r>
        <w:rPr>
          <w:lang w:val="fr_FR" w:bidi="fr_FR"/>
        </w:rPr>
      </w:r>
      <w:r>
        <w:rPr>
          <w:lang w:val="fr_FR" w:bidi="fr_FR"/>
        </w:rPr>
        <w:t>Le livre des Nombres se structure autour des trois grandes étapes du voyage d’Israël à travers le désert : (1) les dix-neuf jours de préparation avant de quitter le mont Sinaï (</w:t>
      </w:r>
      <w:r>
        <w:rPr>
          <w:lang w:val="fr_FR" w:bidi="fr_FR"/>
        </w:rPr>
        <w:t>1.1–10.10</w:t>
      </w:r>
      <w:r>
        <w:rPr>
          <w:lang w:val="fr_FR" w:bidi="fr_FR"/>
        </w:rPr>
        <w:t>), (2) les trente-neuf ans de marche du Sinaï aux plaines de Moab (</w:t>
      </w:r>
      <w:r>
        <w:rPr>
          <w:lang w:val="fr_FR" w:bidi="fr_FR"/>
        </w:rPr>
        <w:t>10.11–22.1</w:t>
      </w:r>
      <w:r>
        <w:rPr>
          <w:lang w:val="fr_FR" w:bidi="fr_FR"/>
        </w:rPr>
        <w:t>), et (3) les derniers mois passés par Israël dans les plaines de Moab, juste avant leur entrée en Canaan (</w:t>
      </w:r>
      <w:r>
        <w:rPr>
          <w:lang w:val="fr_FR" w:bidi="fr_FR"/>
        </w:rPr>
        <w:t>21.1–36.13</w:t>
      </w:r>
      <w:r>
        <w:rPr>
          <w:lang w:val="fr_FR" w:bidi="fr_FR"/>
        </w:rPr>
        <w:t>).</w:t>
      </w:r>
    </w:p>
    <w:p>
      <w:pPr/>
      <w:r>
        <w:rPr>
          <w:lang w:val="fr_FR" w:bidi="fr_FR"/>
        </w:rPr>
      </w:r>
      <w:r>
        <w:rPr>
          <w:lang w:val="fr_FR" w:bidi="fr_FR"/>
        </w:rPr>
        <w:t xml:space="preserve">Les deux recensements des hommes d’Israël en âge de combattre (chapitres </w:t>
      </w:r>
      <w:r>
        <w:rPr>
          <w:lang w:val="fr_FR" w:bidi="fr_FR"/>
        </w:rPr>
        <w:t>1–4</w:t>
      </w:r>
      <w:r>
        <w:rPr>
          <w:lang w:val="fr_FR" w:bidi="fr_FR"/>
        </w:rPr>
        <w:t xml:space="preserve">, </w:t>
      </w:r>
      <w:r>
        <w:rPr>
          <w:lang w:val="fr_FR" w:bidi="fr_FR"/>
        </w:rPr>
        <w:t>26</w:t>
      </w:r>
      <w:r>
        <w:rPr>
          <w:lang w:val="fr_FR" w:bidi="fr_FR"/>
        </w:rPr>
        <w:t>) structurent également le livre des Nombres. Ces recensements évaluaient principalement la force militaire d’Israël ainsi que le nombre de Lévites. Les totaux, pris au début et à la fin du livre, représentent deux générations totalement différentes. Le premier recensement comptait la génération rebelle qui, après avoir quitté l’Égypte, reçu la loi au Sinaï et est morte avant d’entrer en Terre Promise. Le second recensement, quant à lui, dénombrait la nouvelle génération d’Israélites prête à prendre possession de la Terre Promise. Ces deux décomptes sont presque identiques, illustrant ainsi que la seconde génération a complètement remplacé la première.</w:t>
      </w:r>
    </w:p>
    <w:p>
      <w:pPr/>
      <w:r>
        <w:rPr>
          <w:lang w:val="fr_FR" w:bidi="fr_FR"/>
        </w:rPr>
      </w:r>
      <w:r>
        <w:rPr>
          <w:lang w:val="fr_FR" w:bidi="fr_FR"/>
        </w:rPr>
        <w:t xml:space="preserve">En chemin, les Hébreux qui ont quitté l’Égypte se sont rebellés à plusieurs reprises (chapitres </w:t>
      </w:r>
      <w:r>
        <w:rPr>
          <w:lang w:val="fr_FR" w:bidi="fr_FR"/>
        </w:rPr>
        <w:t>11</w:t>
      </w:r>
      <w:r>
        <w:rPr>
          <w:lang w:val="fr_FR" w:bidi="fr_FR"/>
        </w:rPr>
        <w:t xml:space="preserve">, </w:t>
      </w:r>
      <w:r>
        <w:rPr>
          <w:lang w:val="fr_FR" w:bidi="fr_FR"/>
        </w:rPr>
        <w:t>12</w:t>
      </w:r>
      <w:r>
        <w:rPr>
          <w:lang w:val="fr_FR" w:bidi="fr_FR"/>
        </w:rPr>
        <w:t xml:space="preserve">, </w:t>
      </w:r>
      <w:r>
        <w:rPr>
          <w:lang w:val="fr_FR" w:bidi="fr_FR"/>
        </w:rPr>
        <w:t>14</w:t>
      </w:r>
      <w:r>
        <w:rPr>
          <w:lang w:val="fr_FR" w:bidi="fr_FR"/>
        </w:rPr>
        <w:t xml:space="preserve">, </w:t>
      </w:r>
      <w:r>
        <w:rPr>
          <w:lang w:val="fr_FR" w:bidi="fr_FR"/>
        </w:rPr>
        <w:t>16–17</w:t>
      </w:r>
      <w:r>
        <w:rPr>
          <w:lang w:val="fr_FR" w:bidi="fr_FR"/>
        </w:rPr>
        <w:t xml:space="preserve">, </w:t>
      </w:r>
      <w:r>
        <w:rPr>
          <w:lang w:val="fr_FR" w:bidi="fr_FR"/>
        </w:rPr>
        <w:t>20</w:t>
      </w:r>
      <w:r>
        <w:rPr>
          <w:lang w:val="fr_FR" w:bidi="fr_FR"/>
        </w:rPr>
        <w:t xml:space="preserve">, </w:t>
      </w:r>
      <w:r>
        <w:rPr>
          <w:lang w:val="fr_FR" w:bidi="fr_FR"/>
        </w:rPr>
        <w:t>25</w:t>
      </w:r>
      <w:r>
        <w:rPr>
          <w:lang w:val="fr_FR" w:bidi="fr_FR"/>
        </w:rPr>
        <w:t>). Ils sont tous morts dans le désert, sauf Josué et Caleb, dont la foi était exemplaire (</w:t>
      </w:r>
      <w:r>
        <w:rPr>
          <w:lang w:val="fr_FR" w:bidi="fr_FR"/>
        </w:rPr>
        <w:t>13.30</w:t>
      </w:r>
      <w:r>
        <w:rPr>
          <w:lang w:val="fr_FR" w:bidi="fr_FR"/>
        </w:rPr>
        <w:t xml:space="preserve"> ; </w:t>
      </w:r>
      <w:r>
        <w:rPr>
          <w:lang w:val="fr_FR" w:bidi="fr_FR"/>
        </w:rPr>
        <w:t>14.6–9</w:t>
      </w:r>
      <w:r>
        <w:rPr>
          <w:lang w:val="fr_FR" w:bidi="fr_FR"/>
        </w:rPr>
        <w:t>).</w:t>
      </w:r>
    </w:p>
    <w:p>
      <w:pPr/>
      <w:r>
        <w:rPr>
          <w:lang w:val="fr_FR" w:bidi="fr_FR"/>
        </w:rPr>
      </w:r>
      <w:r>
        <w:rPr>
          <w:lang w:val="fr_FR" w:bidi="fr_FR"/>
        </w:rPr>
        <w:t xml:space="preserve">L’armée d’Israël est mise à l’épreuve à plusieurs reprises avant d’entrer en Canaan (chapitres </w:t>
      </w:r>
      <w:r>
        <w:rPr>
          <w:lang w:val="fr_FR" w:bidi="fr_FR"/>
        </w:rPr>
        <w:t>14</w:t>
      </w:r>
      <w:r>
        <w:rPr>
          <w:lang w:val="fr_FR" w:bidi="fr_FR"/>
        </w:rPr>
        <w:t xml:space="preserve">, </w:t>
      </w:r>
      <w:r>
        <w:rPr>
          <w:lang w:val="fr_FR" w:bidi="fr_FR"/>
        </w:rPr>
        <w:t>21</w:t>
      </w:r>
      <w:r>
        <w:rPr>
          <w:lang w:val="fr_FR" w:bidi="fr_FR"/>
        </w:rPr>
        <w:t xml:space="preserve">, </w:t>
      </w:r>
      <w:r>
        <w:rPr>
          <w:lang w:val="fr_FR" w:bidi="fr_FR"/>
        </w:rPr>
        <w:t>31</w:t>
      </w:r>
      <w:r>
        <w:rPr>
          <w:lang w:val="fr_FR" w:bidi="fr_FR"/>
        </w:rPr>
        <w:t xml:space="preserve">), tandis que l’histoire de Balaam est racontée (chapitres </w:t>
      </w:r>
      <w:r>
        <w:rPr>
          <w:lang w:val="fr_FR" w:bidi="fr_FR"/>
        </w:rPr>
        <w:t>22–24</w:t>
      </w:r>
      <w:r>
        <w:rPr>
          <w:lang w:val="fr_FR" w:bidi="fr_FR"/>
        </w:rPr>
        <w:t xml:space="preserve">). Des dispositions sont prises pour l’installation en Transjordanie (chapitres </w:t>
      </w:r>
      <w:r>
        <w:rPr>
          <w:lang w:val="fr_FR" w:bidi="fr_FR"/>
        </w:rPr>
        <w:t>32</w:t>
      </w:r>
      <w:r>
        <w:rPr>
          <w:lang w:val="fr_FR" w:bidi="fr_FR"/>
        </w:rPr>
        <w:t xml:space="preserve">), le voyage dans le désert fait l’objet d’un récapitulatif (chapitres </w:t>
      </w:r>
      <w:r>
        <w:rPr>
          <w:lang w:val="fr_FR" w:bidi="fr_FR"/>
        </w:rPr>
        <w:t>33</w:t>
      </w:r>
      <w:r>
        <w:rPr>
          <w:lang w:val="fr_FR" w:bidi="fr_FR"/>
        </w:rPr>
        <w:t xml:space="preserve">), et Moïse prépare l’occupation de Canaan (chapitres </w:t>
      </w:r>
      <w:r>
        <w:rPr>
          <w:lang w:val="fr_FR" w:bidi="fr_FR"/>
        </w:rPr>
        <w:t>34–36</w:t>
      </w:r>
      <w:r>
        <w:rPr>
          <w:lang w:val="fr_FR" w:bidi="fr_FR"/>
        </w:rPr>
        <w:t>).</w:t>
      </w:r>
    </w:p>
    <w:p>
      <w:pPr/>
      <w:r>
        <w:rPr>
          <w:lang w:val="fr_FR" w:bidi="fr_FR"/>
        </w:rPr>
      </w:r>
      <w:r>
        <w:rPr>
          <w:lang w:val="fr_FR" w:bidi="fr_FR"/>
        </w:rPr>
        <w:t>Les Nombres offrent une étude de cas sur la manière dont Israël a respecté, ou échoué à respecter, les principes de l’alliance dans sa vie quotidienne.</w:t>
      </w:r>
    </w:p>
    <w:p>
      <w:pPr>
        <w:pStyle w:val="Heading2"/>
      </w:pPr>
      <w:r>
        <w:rPr>
          <w:lang w:val="fr_FR" w:bidi="fr_FR"/>
        </w:rPr>
        <w:t>Auteur</w:t>
      </w:r>
    </w:p>
    <w:p>
      <w:pPr/>
      <w:r>
        <w:rPr>
          <w:lang w:val="fr_FR" w:bidi="fr_FR"/>
        </w:rPr>
      </w:r>
      <w:r>
        <w:rPr>
          <w:lang w:val="fr_FR" w:bidi="fr_FR"/>
        </w:rPr>
        <w:t xml:space="preserve">Comme pour les autres livres du Pentateuque, Moïse est traditionnellement considéré comme l’auteur des Nombres. Jusqu’à l’émergence de la recherche moderne, les érudits juifs et chrétiens lui attribuaient la paternité de ce livre ; cette hypothèse était également soutenue par l’Ancien et le Nouveau Testament, ainsi que par une grande partie de la littérature juive ancienne. Le rôle de Moïse en tant qu’auteur est mentionné à plusieurs reprises tout au long du Pentateuque (par exemple, </w:t>
      </w:r>
      <w:r>
        <w:rPr>
          <w:lang w:val="fr_FR" w:bidi="fr_FR"/>
        </w:rPr>
        <w:t>Nb 33.1–2</w:t>
      </w:r>
      <w:r>
        <w:rPr>
          <w:lang w:val="fr_FR" w:bidi="fr_FR"/>
        </w:rPr>
        <w:t>). Il n’y a aucune raison de rejeter a priori Moïse en tant qu’auteur principal, en se basant sur le contenu ou le niveau d’alphabétisation de l’époque de l’Exode et de la conquête, à l’exception de certains passages, comme celui relatant sa mort (</w:t>
      </w:r>
      <w:r>
        <w:rPr>
          <w:lang w:val="fr_FR" w:bidi="fr_FR"/>
        </w:rPr>
        <w:t>Dt 34</w:t>
      </w:r>
      <w:r>
        <w:rPr>
          <w:lang w:val="fr_FR" w:bidi="fr_FR"/>
        </w:rPr>
        <w:t>). Il est également possible que Moïse ait supervisé la compilation des livres qui lui sont attribués, ou qu’il ait, à l’instar de l’apôtre Paul, dicté certaines parties de ses écrits.</w:t>
      </w:r>
    </w:p>
    <w:p>
      <w:pPr/>
      <w:r>
        <w:rPr>
          <w:lang w:val="fr_FR" w:bidi="fr_FR"/>
        </w:rPr>
      </w:r>
      <w:r>
        <w:rPr>
          <w:lang w:val="fr_FR" w:bidi="fr_FR"/>
        </w:rPr>
        <w:t xml:space="preserve">De nombreux érudits postulent l’existence de diverses sources ayant été utilisées par des éditeurs ultérieurs pour composer les livres du Pentateuque, mais cette « hypothèse documentaire » demeure spéculative (voir </w:t>
      </w:r>
      <w:r>
        <w:rPr>
          <w:lang w:val="fr_FR" w:bidi="fr_FR"/>
        </w:rPr>
        <w:t>Introduction au Livre de la Genèse,</w:t>
      </w:r>
      <w:r>
        <w:rPr>
          <w:lang w:val="fr_FR" w:bidi="fr_FR"/>
        </w:rPr>
        <w:t xml:space="preserve"> « Auteur »). Même en tenant compte des modifications ultérieures apportées par les scribes et les éditeurs, le livre des Nombres demeure fondamentalement l’œuvre de Moïse.</w:t>
      </w:r>
    </w:p>
    <w:p>
      <w:pPr>
        <w:pStyle w:val="Heading2"/>
      </w:pPr>
      <w:r>
        <w:rPr>
          <w:lang w:val="fr_FR" w:bidi="fr_FR"/>
        </w:rPr>
        <w:t>Date et cadre géographique</w:t>
      </w:r>
    </w:p>
    <w:p>
      <w:pPr/>
      <w:r>
        <w:rPr>
          <w:lang w:val="fr_FR" w:bidi="fr_FR"/>
        </w:rPr>
      </w:r>
      <w:r>
        <w:rPr>
          <w:lang w:val="fr_FR" w:bidi="fr_FR"/>
        </w:rPr>
        <w:t xml:space="preserve">Les données géographiques, culturelles et linguistiques relatives au livre des Nombres permettent d’attribuer à l’Exode et à la conquête une date précoce ou tardive </w:t>
      </w:r>
      <w:r>
        <w:rPr>
          <w:lang w:val="fr_FR" w:bidi="fr_FR"/>
        </w:rPr>
        <w:t xml:space="preserve">(1 400 ou 1 200 avant J.‑C.) (voir </w:t>
      </w:r>
      <w:r>
        <w:rPr>
          <w:lang w:val="fr_FR" w:bidi="fr_FR"/>
        </w:rPr>
        <w:t>Introduction au Livre de l’Exode</w:t>
      </w:r>
      <w:r>
        <w:rPr>
          <w:lang w:val="fr_FR" w:bidi="fr_FR"/>
        </w:rPr>
        <w:t>, « La Date de l’Exode »).</w:t>
      </w:r>
    </w:p>
    <w:p>
      <w:pPr/>
      <w:r>
        <w:rPr>
          <w:lang w:val="fr_FR" w:bidi="fr_FR"/>
        </w:rPr>
      </w:r>
      <w:r>
        <w:rPr>
          <w:lang w:val="fr_FR" w:bidi="fr_FR"/>
        </w:rPr>
        <w:t>Les vestiges archéologiques du Sinaï, du Néguev et de la Transjordanie (Édom, Moab et Ammon) contribuent de manière significative à la discussion sur le contexte historique de la conquête. Cependant, les chercheurs peinent à identifier avec précision de nombreux sites mentionnés dans l’itinéraire du désert, et plusieurs autres lieux évoqués dans le livre des Nombres restent également difficiles à localiser.</w:t>
      </w:r>
    </w:p>
    <w:p>
      <w:pPr>
        <w:pStyle w:val="Heading2"/>
      </w:pPr>
      <w:r>
        <w:rPr>
          <w:lang w:val="fr_FR" w:bidi="fr_FR"/>
        </w:rPr>
        <w:t>Questions littéraires</w:t>
      </w:r>
    </w:p>
    <w:p>
      <w:pPr/>
      <w:r>
        <w:rPr>
          <w:lang w:val="fr_FR" w:bidi="fr_FR"/>
        </w:rPr>
      </w:r>
      <w:r>
        <w:rPr>
          <w:lang w:val="fr_FR" w:bidi="fr_FR"/>
        </w:rPr>
        <w:t xml:space="preserve">Titre du Livre. Le nom « Nombres » provient de l’intérêt que porte ce livre aux statistiques (voir chapitres </w:t>
      </w:r>
      <w:r>
        <w:rPr>
          <w:lang w:val="fr_FR" w:bidi="fr_FR"/>
        </w:rPr>
        <w:t>1–4</w:t>
      </w:r>
      <w:r>
        <w:rPr>
          <w:lang w:val="fr_FR" w:bidi="fr_FR"/>
        </w:rPr>
        <w:t xml:space="preserve">, </w:t>
      </w:r>
      <w:r>
        <w:rPr>
          <w:lang w:val="fr_FR" w:bidi="fr_FR"/>
        </w:rPr>
        <w:t>26</w:t>
      </w:r>
      <w:r>
        <w:rPr>
          <w:lang w:val="fr_FR" w:bidi="fr_FR"/>
        </w:rPr>
        <w:t xml:space="preserve">). Ce titre est la traduction française du titre latin </w:t>
      </w:r>
      <w:r>
        <w:rPr>
          <w:i/>
          <w:lang w:val="fr_FR" w:bidi="fr_FR"/>
        </w:rPr>
        <w:t>Numeri</w:t>
      </w:r>
      <w:r>
        <w:rPr>
          <w:lang w:val="fr_FR" w:bidi="fr_FR"/>
        </w:rPr>
        <w:t xml:space="preserve"> et du grec </w:t>
      </w:r>
      <w:r>
        <w:rPr>
          <w:i/>
          <w:lang w:val="fr_FR" w:bidi="fr_FR"/>
        </w:rPr>
        <w:t>Arithmoi</w:t>
      </w:r>
      <w:r>
        <w:rPr>
          <w:lang w:val="fr_FR" w:bidi="fr_FR"/>
        </w:rPr>
        <w:t xml:space="preserve">, les noms donnés à ce livre par les traductions de la Vulgate latine et de la Septante grecque de l’Ancien Testament. Les registres indiquent de manière précise que les Israélites ayant quitté l’Égypte n’étaient pas les mêmes que ceux ayant traversé le Jourdain pour entrer en Canaan. Dans la Bible hébraïque, le livre des Nombres porte le nom de </w:t>
      </w:r>
      <w:r>
        <w:rPr>
          <w:i/>
          <w:lang w:val="fr_FR" w:bidi="fr_FR"/>
        </w:rPr>
        <w:t>Bemidbar</w:t>
      </w:r>
      <w:r>
        <w:rPr>
          <w:lang w:val="fr_FR" w:bidi="fr_FR"/>
        </w:rPr>
        <w:t xml:space="preserve"> (« dans le désert »), le quatrième mot du verset </w:t>
      </w:r>
      <w:r>
        <w:rPr>
          <w:lang w:val="fr_FR" w:bidi="fr_FR"/>
        </w:rPr>
        <w:t>Nb 1.1</w:t>
      </w:r>
      <w:r>
        <w:rPr>
          <w:lang w:val="fr_FR" w:bidi="fr_FR"/>
        </w:rPr>
        <w:t xml:space="preserve"> du texte hébreu. Ce titre est parfaitement approprié, car il reflète à la fois le contexte géographique et le cadre chronologique du livre. </w:t>
      </w:r>
    </w:p>
    <w:p>
      <w:pPr/>
      <w:r>
        <w:rPr>
          <w:lang w:val="fr_FR" w:bidi="fr_FR"/>
        </w:rPr>
      </w:r>
      <w:r>
        <w:rPr>
          <w:lang w:val="fr_FR" w:bidi="fr_FR"/>
        </w:rPr>
        <w:t xml:space="preserve">Genres littéraires. Le livre des Nombres présente une variété de genres littéraires typiques, tels que le récit (par exemple, </w:t>
      </w:r>
      <w:r>
        <w:rPr>
          <w:lang w:val="fr_FR" w:bidi="fr_FR"/>
        </w:rPr>
        <w:t>10.11–14.45</w:t>
      </w:r>
      <w:r>
        <w:rPr>
          <w:lang w:val="fr_FR" w:bidi="fr_FR"/>
        </w:rPr>
        <w:t xml:space="preserve">), la poésie (par exemple, chapitres </w:t>
      </w:r>
      <w:r>
        <w:rPr>
          <w:lang w:val="fr_FR" w:bidi="fr_FR"/>
        </w:rPr>
        <w:t>23–24</w:t>
      </w:r>
      <w:r>
        <w:rPr>
          <w:lang w:val="fr_FR" w:bidi="fr_FR"/>
        </w:rPr>
        <w:t xml:space="preserve">), et la loi (par exemple, chapitres </w:t>
      </w:r>
      <w:r>
        <w:rPr>
          <w:lang w:val="fr_FR" w:bidi="fr_FR"/>
        </w:rPr>
        <w:t>4–6</w:t>
      </w:r>
      <w:r>
        <w:rPr>
          <w:lang w:val="fr_FR" w:bidi="fr_FR"/>
        </w:rPr>
        <w:t xml:space="preserve">). Il contient également des listes détaillées de faits et de chiffres, comme les recensements (par exemple, chapitres </w:t>
      </w:r>
      <w:r>
        <w:rPr>
          <w:lang w:val="fr_FR" w:bidi="fr_FR"/>
        </w:rPr>
        <w:t>1–4</w:t>
      </w:r>
      <w:r>
        <w:rPr>
          <w:lang w:val="fr_FR" w:bidi="fr_FR"/>
        </w:rPr>
        <w:t xml:space="preserve">), les offrandes (par exemple, chapitres </w:t>
      </w:r>
      <w:r>
        <w:rPr>
          <w:lang w:val="fr_FR" w:bidi="fr_FR"/>
        </w:rPr>
        <w:t>7</w:t>
      </w:r>
      <w:r>
        <w:rPr>
          <w:lang w:val="fr_FR" w:bidi="fr_FR"/>
        </w:rPr>
        <w:t xml:space="preserve">), et les itinéraires de voyage (par exemple, chapitres </w:t>
      </w:r>
      <w:r>
        <w:rPr>
          <w:lang w:val="fr_FR" w:bidi="fr_FR"/>
        </w:rPr>
        <w:t>33</w:t>
      </w:r>
      <w:r>
        <w:rPr>
          <w:lang w:val="fr_FR" w:bidi="fr_FR"/>
        </w:rPr>
        <w:t xml:space="preserve">). Dans la nouvelle traduction anglaise de la Bible, plusieurs de ces listes sont regroupées sous forme de tableaux concis, présentant des noms et des chiffres (chapitres </w:t>
      </w:r>
      <w:r>
        <w:rPr>
          <w:lang w:val="fr_FR" w:bidi="fr_FR"/>
        </w:rPr>
        <w:t>1–2</w:t>
      </w:r>
      <w:r>
        <w:rPr>
          <w:lang w:val="fr_FR" w:bidi="fr_FR"/>
        </w:rPr>
        <w:t xml:space="preserve"> ; </w:t>
      </w:r>
      <w:r>
        <w:rPr>
          <w:lang w:val="fr_FR" w:bidi="fr_FR"/>
        </w:rPr>
        <w:t>13</w:t>
      </w:r>
      <w:r>
        <w:rPr>
          <w:lang w:val="fr_FR" w:bidi="fr_FR"/>
        </w:rPr>
        <w:t xml:space="preserve">, </w:t>
      </w:r>
      <w:r>
        <w:rPr>
          <w:lang w:val="fr_FR" w:bidi="fr_FR"/>
        </w:rPr>
        <w:t>34</w:t>
      </w:r>
      <w:r>
        <w:rPr>
          <w:lang w:val="fr_FR" w:bidi="fr_FR"/>
        </w:rPr>
        <w:t>).</w:t>
      </w:r>
    </w:p>
    <w:p>
      <w:pPr/>
      <w:r>
        <w:rPr>
          <w:lang w:val="fr_FR" w:bidi="fr_FR"/>
        </w:rPr>
      </w:r>
      <w:r>
        <w:rPr>
          <w:lang w:val="fr_FR" w:bidi="fr_FR"/>
        </w:rPr>
        <w:t xml:space="preserve">Sources littéraires. La Bible hébraïque mentionne des sources anciennes que Moïse (et peut-être des éditeurs ultérieurs) a consultées, telles que </w:t>
      </w:r>
      <w:r>
        <w:rPr>
          <w:i/>
          <w:lang w:val="fr_FR" w:bidi="fr_FR"/>
        </w:rPr>
        <w:t xml:space="preserve">Le Livre des Guerres du </w:t>
      </w:r>
      <w:r>
        <w:rPr>
          <w:lang w:val="fr_FR" w:bidi="fr_FR"/>
        </w:rPr>
        <w:t>Seigneur (</w:t>
      </w:r>
      <w:r>
        <w:rPr>
          <w:lang w:val="fr_FR" w:bidi="fr_FR"/>
        </w:rPr>
        <w:t>21.14–15</w:t>
      </w:r>
      <w:r>
        <w:rPr>
          <w:lang w:val="fr_FR" w:bidi="fr_FR"/>
        </w:rPr>
        <w:t>), le « Chant du Puits » (</w:t>
      </w:r>
      <w:r>
        <w:rPr>
          <w:lang w:val="fr_FR" w:bidi="fr_FR"/>
        </w:rPr>
        <w:t>21.17–18</w:t>
      </w:r>
      <w:r>
        <w:rPr>
          <w:lang w:val="fr_FR" w:bidi="fr_FR"/>
        </w:rPr>
        <w:t>), et le « Chant de Hesbon » (</w:t>
      </w:r>
      <w:r>
        <w:rPr>
          <w:lang w:val="fr_FR" w:bidi="fr_FR"/>
        </w:rPr>
        <w:t>21.27–30</w:t>
      </w:r>
      <w:r>
        <w:rPr>
          <w:lang w:val="fr_FR" w:bidi="fr_FR"/>
        </w:rPr>
        <w:t xml:space="preserve">). Les chapitres </w:t>
      </w:r>
      <w:r>
        <w:rPr>
          <w:lang w:val="fr_FR" w:bidi="fr_FR"/>
        </w:rPr>
        <w:t>23–24</w:t>
      </w:r>
      <w:r>
        <w:rPr>
          <w:lang w:val="fr_FR" w:bidi="fr_FR"/>
        </w:rPr>
        <w:t xml:space="preserve"> contiennent de nombreux vers poétiques du prophète non israélite Balaam ; les versets </w:t>
      </w:r>
      <w:r>
        <w:rPr>
          <w:lang w:val="fr_FR" w:bidi="fr_FR"/>
        </w:rPr>
        <w:t>31.32–47</w:t>
      </w:r>
      <w:r>
        <w:rPr>
          <w:lang w:val="fr_FR" w:bidi="fr_FR"/>
        </w:rPr>
        <w:t xml:space="preserve"> semble être basé sur un rapport réel concernant les butins de guerre ; et le chapitre </w:t>
      </w:r>
      <w:r>
        <w:rPr>
          <w:lang w:val="fr_FR" w:bidi="fr_FR"/>
        </w:rPr>
        <w:t>33</w:t>
      </w:r>
      <w:r>
        <w:rPr>
          <w:lang w:val="fr_FR" w:bidi="fr_FR"/>
        </w:rPr>
        <w:t xml:space="preserve"> semble provenir d’un journal écrit.</w:t>
      </w:r>
    </w:p>
    <w:p>
      <w:pPr/>
      <w:r>
        <w:rPr>
          <w:lang w:val="fr_FR" w:bidi="fr_FR"/>
        </w:rPr>
      </w:r>
      <w:r>
        <w:rPr>
          <w:lang w:val="fr_FR" w:bidi="fr_FR"/>
        </w:rPr>
        <w:t xml:space="preserve">Texte. Le texte hébreu des Nombres est globalement bien préservé, à l’exception de certaines sections poétiques des chapitres </w:t>
      </w:r>
      <w:r>
        <w:rPr>
          <w:lang w:val="fr_FR" w:bidi="fr_FR"/>
        </w:rPr>
        <w:t>21–24</w:t>
      </w:r>
      <w:r>
        <w:rPr>
          <w:lang w:val="fr_FR" w:bidi="fr_FR"/>
        </w:rPr>
        <w:t xml:space="preserve"> qui demeurent difficiles à interpréter. L’intégrité du texte hébreu est manifeste lorsqu’on compare le texte massorétique (années 900 après J.‑C.) avec des fragments beaucoup plus anciens des Nombres retrouvés parmi les Manuscrits de la mer Morte (150 av. J.‑C.-125 apr J.‑C.) ; les différences entre les deux sont minimes. En revanche, des écarts plus marqués existent entre le texte massorétique, ses équivalents dans la Septante (Ancien Testament grec) et le Pentateuque samaritain, mais ces divergences relèvent davantage de choix d’interprétation délibérés que de simples variations de lecture des manuscrits</w:t>
      </w:r>
    </w:p>
    <w:p>
      <w:pPr>
        <w:pStyle w:val="Heading2"/>
      </w:pPr>
      <w:r>
        <w:rPr>
          <w:lang w:val="fr_FR" w:bidi="fr_FR"/>
        </w:rPr>
        <w:t>Signification et message</w:t>
      </w:r>
    </w:p>
    <w:p>
      <w:pPr/>
      <w:r>
        <w:rPr>
          <w:lang w:val="fr_FR" w:bidi="fr_FR"/>
        </w:rPr>
      </w:r>
      <w:r>
        <w:rPr>
          <w:lang w:val="fr_FR" w:bidi="fr_FR"/>
        </w:rPr>
        <w:t>Le livre des Nombres raconte comment Dieu a pourvu aux besoins de son peuple tout en décrivant la désobéissance répétée des Israélites, qui se sont rebellés contre les commandements du Seigneur. Les quarante années d’errance dans le désert ne résultent pas de leur égarement, mais de leur manque de foi et de leur rébellion.</w:t>
      </w:r>
    </w:p>
    <w:p>
      <w:pPr/>
      <w:r>
        <w:rPr>
          <w:lang w:val="fr_FR" w:bidi="fr_FR"/>
        </w:rPr>
      </w:r>
      <w:r>
        <w:rPr>
          <w:lang w:val="fr_FR" w:bidi="fr_FR"/>
        </w:rPr>
        <w:t>Le livre des Nombres met en lumière la lutte d’Israël avec Dieu. À chaque appel divin à obéir à la loi, les Israélites se sont rebellés. Bien qu’ils puissent compter sur Dieu pour pourvoir à leurs besoins matériels et pour les guider et les enseigner par l’intermédiaire des chefs qu’ils avaient choisis, cette constante provision divine était souvent accueillie par un manque de foi. Le livre des Nombres souligne la rapidité du jugement d’un Dieu saint, tout en montrant que le Seigneur demeure fidèle et patient</w:t>
      </w:r>
    </w:p>
    <w:p>
      <w:pPr/>
      <w:r>
        <w:rPr>
          <w:lang w:val="fr_FR" w:bidi="fr_FR"/>
        </w:rPr>
      </w:r>
      <w:r>
        <w:rPr>
          <w:lang w:val="fr_FR" w:bidi="fr_FR"/>
        </w:rPr>
        <w:t>Tout comme dans l’ancien Israël, toutes les communautés de croyants ont besoin d’une direction ferme, et le Livre des Nombres reste une mise en garde pour ceux qui oublient trop facilement la sainteté de Dieu. Plusieurs épisodes spécifiques du Livre des Nombres sont cités dans le Nouveau Testament comme des leçons puissantes :</w:t>
      </w:r>
    </w:p>
    <w:p>
      <w:pPr>
        <w:pStyle w:val="ListBullet"/>
        <w:spacing w:line="240" w:lineRule="auto"/>
        <w:ind w:left="720"/>
      </w:pPr>
      <w:r>
        <w:rPr>
          <w:lang w:val="fr_FR" w:bidi="fr_FR"/>
        </w:rPr>
      </w:r>
      <w:r>
        <w:rPr>
          <w:lang w:val="fr_FR" w:bidi="fr_FR"/>
        </w:rPr>
        <w:t xml:space="preserve">Au verset </w:t>
      </w:r>
      <w:r>
        <w:rPr>
          <w:lang w:val="fr_FR" w:bidi="fr_FR"/>
        </w:rPr>
        <w:t>1Co 10.1–11</w:t>
      </w:r>
      <w:r>
        <w:rPr>
          <w:lang w:val="fr_FR" w:bidi="fr_FR"/>
        </w:rPr>
        <w:t>, l’apôtre Paul met en garde ses lecteurs contre l’idolâtrie, l’immoralité et les murmures afin qu’ils ne périssent pas comme les Israélites dans le désert. Dieu n’est pas satisfait de ce comportement, et les disciples du Christ ne doivent pas mettre Dieu à l’épreuve (</w:t>
      </w:r>
      <w:r>
        <w:rPr>
          <w:lang w:val="fr_FR" w:bidi="fr_FR"/>
        </w:rPr>
        <w:t>1Co 10.9</w:t>
      </w:r>
      <w:r>
        <w:rPr>
          <w:lang w:val="fr_FR" w:bidi="fr_FR"/>
        </w:rPr>
        <w:t>).</w:t>
      </w:r>
    </w:p>
    <w:p>
      <w:pPr>
        <w:pStyle w:val="ListBullet"/>
        <w:spacing w:line="240" w:lineRule="auto"/>
        <w:ind w:left="720"/>
      </w:pPr>
      <w:r>
        <w:rPr>
          <w:lang w:val="fr_FR" w:bidi="fr_FR"/>
        </w:rPr>
      </w:r>
      <w:r>
        <w:rPr>
          <w:lang w:val="fr_FR" w:bidi="fr_FR"/>
        </w:rPr>
        <w:t xml:space="preserve">L’auteur de l’épître aux Hébreux souligne </w:t>
      </w:r>
      <w:r>
        <w:rPr>
          <w:lang w:val="fr_FR" w:bidi="fr_FR"/>
        </w:rPr>
        <w:t xml:space="preserve">des exemples répétés de la dureté de cœur et de la désobéissance d’Israël </w:t>
      </w:r>
      <w:r>
        <w:rPr>
          <w:lang w:val="fr_FR" w:bidi="fr_FR"/>
        </w:rPr>
        <w:t>et dit que Dieu a répondu à cet égarement par une colère rapide et certaine (</w:t>
      </w:r>
      <w:r>
        <w:rPr>
          <w:lang w:val="fr_FR" w:bidi="fr_FR"/>
        </w:rPr>
        <w:t>Hé 3.7–4.11</w:t>
      </w:r>
      <w:r>
        <w:rPr>
          <w:lang w:val="fr_FR" w:bidi="fr_FR"/>
        </w:rPr>
        <w:t xml:space="preserve">). Ces versets, qui s’appuient fortement sur les mots du </w:t>
      </w:r>
      <w:r>
        <w:rPr>
          <w:lang w:val="fr_FR" w:bidi="fr_FR"/>
        </w:rPr>
        <w:t>Psaume 95</w:t>
      </w:r>
      <w:r>
        <w:rPr>
          <w:lang w:val="fr_FR" w:bidi="fr_FR"/>
        </w:rPr>
        <w:t>, sont imprégnés de termes qui reflètent le jugement de Dieu sur le péché d’Israël.</w:t>
      </w:r>
    </w:p>
    <w:p>
      <w:pPr>
        <w:pStyle w:val="ListBullet"/>
        <w:spacing w:line="240" w:lineRule="auto"/>
        <w:ind w:left="720"/>
      </w:pPr>
      <w:r>
        <w:rPr>
          <w:lang w:val="fr_FR" w:bidi="fr_FR"/>
        </w:rPr>
      </w:r>
      <w:r>
        <w:rPr>
          <w:lang w:val="fr_FR" w:bidi="fr_FR"/>
        </w:rPr>
        <w:t xml:space="preserve">Le verset </w:t>
      </w:r>
      <w:r>
        <w:rPr>
          <w:lang w:val="fr_FR" w:bidi="fr_FR"/>
        </w:rPr>
        <w:t>Jd 1.5</w:t>
      </w:r>
      <w:r>
        <w:rPr>
          <w:lang w:val="fr_FR" w:bidi="fr_FR"/>
        </w:rPr>
        <w:t xml:space="preserve"> enseigne aux chrétiens la fidélité en résumant le livre des Nombres.</w:t>
      </w:r>
    </w:p>
    <w:p>
      <w:pPr/>
      <w:r>
        <w:rPr>
          <w:lang w:val="fr_FR" w:bidi="fr_FR"/>
        </w:rPr>
      </w:r>
      <w:r>
        <w:rPr>
          <w:lang w:val="fr_FR" w:bidi="fr_FR"/>
        </w:rPr>
        <w:t>Le même Dieu qui a libéré son peuple de l’Égypte a anéanti cette génération rebelle en raison de son manque de foi et de sa désobéissance. À l’instar de l’ancien Israël, les chrétiens doivent tirer des leçons des erreurs du passé et vivre dans la foi et l’obéissance envers leur Seigneur.</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