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Ecclésiaste</w:t>
      </w:r>
      <w:r>
        <w:rPr>
          <w:lang w:val="fr_FR" w:bidi="fr_FR"/>
        </w:rPr>
      </w:r>
    </w:p>
    <w:p>
      <w:pPr/>
      <w:r>
        <w:rPr>
          <w:lang w:val="fr_FR" w:bidi="fr_FR"/>
        </w:rPr>
      </w:r>
      <w:r>
        <w:rPr>
          <w:lang w:val="fr_FR" w:bidi="fr_FR"/>
        </w:rPr>
        <w:t>L’Ecclésiaste invite à une réflexion profonde sur les grandes questions de l’existence. Il observe que la vie, avec tout ce qu’elle comporte, ressemble à une vapeur insaisissable : elle est là un instant, puis disparaît. Pourtant, cela ne signifie pas qu’elle soit dénuée de sens. L’auteur recommande la sagesse, une conduite droite, et encourage chacun à trouver un sens en se souvenant de son créateur et en obéissant aux commandements de Dieu. C’est ainsi que l’on peut éprouver de la joie dans la vie que Dieu nous a donnée.</w:t>
      </w:r>
    </w:p>
    <w:p>
      <w:pPr>
        <w:pStyle w:val="Heading2"/>
      </w:pPr>
      <w:r>
        <w:rPr>
          <w:lang w:val="fr_FR" w:bidi="fr_FR"/>
        </w:rPr>
        <w:t>Contexte</w:t>
      </w:r>
    </w:p>
    <w:p>
      <w:pPr/>
      <w:r>
        <w:rPr>
          <w:lang w:val="fr_FR" w:bidi="fr_FR"/>
        </w:rPr>
      </w:r>
      <w:r>
        <w:rPr>
          <w:lang w:val="fr_FR" w:bidi="fr_FR"/>
        </w:rPr>
        <w:t>Pendant les années de paix qui ont suivi l’établissement de l’empire par David, Israël a connu une période de prospérité. Salomon en a profité pour investir temps et énergie dans l’enrichissement de la culture. Il a développé le commerce international, renforcé la diplomatie et stimulé l’agriculture. Il a aussi bâti des villes, des forteresses et le temple. Grâce à l’abondance matérielle, il a favorisé le développement culturel et la production d’une littérature riche. Plutôt que de mener des guerres, il a choisi d’établir des liens avec d’autres nations, d’explorer leur littérature et d’intégrer leurs expressions culturelles dans la relation qu’Israël entretenait avec l’Éternel. Bien que ses échecs soient connus, Salomon a accompli de grandes choses grâce à sa sagesse et a laissé des enseignements précieux sur l’art de vivre avec discernement.</w:t>
      </w:r>
    </w:p>
    <w:p>
      <w:pPr>
        <w:pStyle w:val="Heading2"/>
      </w:pPr>
      <w:r>
        <w:rPr>
          <w:lang w:val="fr_FR" w:bidi="fr_FR"/>
        </w:rPr>
        <w:t>Résumé</w:t>
      </w:r>
    </w:p>
    <w:p>
      <w:pPr/>
      <w:r>
        <w:rPr>
          <w:lang w:val="fr_FR" w:bidi="fr_FR"/>
        </w:rPr>
      </w:r>
      <w:r>
        <w:rPr>
          <w:lang w:val="fr_FR" w:bidi="fr_FR"/>
        </w:rPr>
        <w:t>Le livre de l’Ecclésiaste se présente comme un discours (ou une série de discours) qui examine la valeur de la vie, ce qu’elle contient, et ce que les êtres humains sont appelés à faire. L’ensemble est encadré par un prologue très bref (</w:t>
      </w:r>
      <w:r>
        <w:rPr>
          <w:lang w:val="fr_FR" w:bidi="fr_FR"/>
        </w:rPr>
        <w:t>1.1</w:t>
      </w:r>
      <w:r>
        <w:rPr>
          <w:lang w:val="fr_FR" w:bidi="fr_FR"/>
        </w:rPr>
        <w:t>) et un épilogue et une conclusion (</w:t>
      </w:r>
      <w:r>
        <w:rPr>
          <w:lang w:val="fr_FR" w:bidi="fr_FR"/>
        </w:rPr>
        <w:t>12.9–14</w:t>
      </w:r>
      <w:r>
        <w:rPr>
          <w:lang w:val="fr_FR" w:bidi="fr_FR"/>
        </w:rPr>
        <w:t xml:space="preserve">). Dans ce cadre se trouvent les paroles du « Maître » (hébreu </w:t>
      </w:r>
      <w:r>
        <w:rPr>
          <w:i/>
          <w:lang w:val="fr_FR" w:bidi="fr_FR"/>
        </w:rPr>
        <w:t>Qohelet</w:t>
      </w:r>
      <w:r>
        <w:rPr>
          <w:lang w:val="fr_FR" w:bidi="fr_FR"/>
        </w:rPr>
        <w:t>, nom par lequel la plupart des commentateurs le désignent).</w:t>
      </w:r>
    </w:p>
    <w:p>
      <w:pPr/>
      <w:r>
        <w:rPr>
          <w:lang w:val="fr_FR" w:bidi="fr_FR"/>
        </w:rPr>
      </w:r>
      <w:r>
        <w:rPr>
          <w:lang w:val="fr_FR" w:bidi="fr_FR"/>
        </w:rPr>
        <w:t xml:space="preserve">Le Maître aborde une grande variété de thèmes, comme le temps, le travail, la sagesse, le plaisir ou encore l’injustice. Il revient constamment sur une idée centrale : la vie, dans tout ce qu’elle comporte, est </w:t>
      </w:r>
      <w:r>
        <w:rPr>
          <w:i/>
          <w:lang w:val="fr_FR" w:bidi="fr_FR"/>
        </w:rPr>
        <w:t>hebel</w:t>
      </w:r>
      <w:r>
        <w:rPr>
          <w:lang w:val="fr_FR" w:bidi="fr_FR"/>
        </w:rPr>
        <w:t xml:space="preserve"> (un mot hébreu que l’on traduit souvent par « vapeur », ou par « vanité », dans le sens d’éphémère ou d’insaisissable). À travers ses réflexions, il explore comment l’être humain peut faire face aux réalités de l’existence dans un monde placé sous la souveraineté de Dieu. Cette réflexion est résumée par l’éditeur à la fin du livre : « Écoutons la fin du discours : Crains Dieu et observe ses commandements. C’est là ce que doit faire tout homme. Car Dieu amènera toute œuvre en jugement, au sujet de tout ce qui est caché, soit bien, soit mal » (</w:t>
      </w:r>
      <w:r>
        <w:rPr>
          <w:lang w:val="fr_FR" w:bidi="fr_FR"/>
        </w:rPr>
        <w:t>12.13–14</w:t>
      </w:r>
      <w:r>
        <w:rPr>
          <w:lang w:val="fr_FR" w:bidi="fr_FR"/>
        </w:rPr>
        <w:t>).</w:t>
      </w:r>
    </w:p>
    <w:p>
      <w:pPr>
        <w:pStyle w:val="Heading2"/>
      </w:pPr>
      <w:r>
        <w:rPr>
          <w:lang w:val="fr_FR" w:bidi="fr_FR"/>
        </w:rPr>
        <w:t>Auteur et destinataires</w:t>
      </w:r>
    </w:p>
    <w:p>
      <w:pPr/>
      <w:r>
        <w:rPr>
          <w:lang w:val="fr_FR" w:bidi="fr_FR"/>
        </w:rPr>
      </w:r>
      <w:r>
        <w:rPr>
          <w:lang w:val="fr_FR" w:bidi="fr_FR"/>
        </w:rPr>
        <w:t xml:space="preserve">Le principal orateur est identifié comme un roi, comme « le fils de David » (voir </w:t>
      </w:r>
      <w:r>
        <w:rPr>
          <w:lang w:val="fr_FR" w:bidi="fr_FR"/>
        </w:rPr>
        <w:t>1.1</w:t>
      </w:r>
      <w:r>
        <w:rPr>
          <w:lang w:val="fr_FR" w:bidi="fr_FR"/>
        </w:rPr>
        <w:t xml:space="preserve">, </w:t>
      </w:r>
      <w:r>
        <w:rPr>
          <w:lang w:val="fr_FR" w:bidi="fr_FR"/>
        </w:rPr>
        <w:t>1.12</w:t>
      </w:r>
      <w:r>
        <w:rPr>
          <w:lang w:val="fr_FR" w:bidi="fr_FR"/>
        </w:rPr>
        <w:t xml:space="preserve">, </w:t>
      </w:r>
      <w:r>
        <w:rPr>
          <w:lang w:val="fr_FR" w:bidi="fr_FR"/>
        </w:rPr>
        <w:t xml:space="preserve">1.16 </w:t>
      </w:r>
      <w:r>
        <w:rPr>
          <w:lang w:val="fr_FR" w:bidi="fr_FR"/>
        </w:rPr>
        <w:t xml:space="preserve">; </w:t>
      </w:r>
      <w:r>
        <w:rPr>
          <w:lang w:val="fr_FR" w:bidi="fr_FR"/>
        </w:rPr>
        <w:t>2.7</w:t>
      </w:r>
      <w:r>
        <w:rPr>
          <w:lang w:val="fr_FR" w:bidi="fr_FR"/>
        </w:rPr>
        <w:t xml:space="preserve">, </w:t>
      </w:r>
      <w:r>
        <w:rPr>
          <w:lang w:val="fr_FR" w:bidi="fr_FR"/>
        </w:rPr>
        <w:t>2.9</w:t>
      </w:r>
      <w:r>
        <w:rPr>
          <w:lang w:val="fr_FR" w:bidi="fr_FR"/>
        </w:rPr>
        <w:t>) ; ce qui renvoie très clairement à Salomon. Son discours est introduit et conclu par un éditeur (</w:t>
      </w:r>
      <w:r>
        <w:rPr>
          <w:lang w:val="fr_FR" w:bidi="fr_FR"/>
        </w:rPr>
        <w:t xml:space="preserve">1.1 </w:t>
      </w:r>
      <w:r>
        <w:rPr>
          <w:lang w:val="fr_FR" w:bidi="fr_FR"/>
        </w:rPr>
        <w:t xml:space="preserve">; </w:t>
      </w:r>
      <w:r>
        <w:rPr>
          <w:lang w:val="fr_FR" w:bidi="fr_FR"/>
        </w:rPr>
        <w:t>12.9–14</w:t>
      </w:r>
      <w:r>
        <w:rPr>
          <w:lang w:val="fr_FR" w:bidi="fr_FR"/>
        </w:rPr>
        <w:t>), qui exprime son respect pour la sagesse du Qohelet et ajoute quelques conseils personnels utiles.</w:t>
      </w:r>
    </w:p>
    <w:p>
      <w:pPr/>
      <w:r>
        <w:rPr>
          <w:lang w:val="fr_FR" w:bidi="fr_FR"/>
        </w:rPr>
      </w:r>
      <w:r>
        <w:rPr>
          <w:lang w:val="fr_FR" w:bidi="fr_FR"/>
        </w:rPr>
        <w:t xml:space="preserve">Le mot hébreu </w:t>
      </w:r>
      <w:r>
        <w:rPr>
          <w:i/>
          <w:lang w:val="fr_FR" w:bidi="fr_FR"/>
        </w:rPr>
        <w:t>Qohelet</w:t>
      </w:r>
      <w:r>
        <w:rPr>
          <w:lang w:val="fr_FR" w:bidi="fr_FR"/>
        </w:rPr>
        <w:t xml:space="preserve">, souvent traduit par « Maître d’assemblée », signifie littéralement « celui qui convoque une assemblée ». Ce sens se retrouve dans le titre grec </w:t>
      </w:r>
      <w:r>
        <w:rPr>
          <w:i/>
          <w:lang w:val="fr_FR" w:bidi="fr_FR"/>
        </w:rPr>
        <w:t>Ecclésiaste</w:t>
      </w:r>
      <w:r>
        <w:rPr>
          <w:lang w:val="fr_FR" w:bidi="fr_FR"/>
        </w:rPr>
        <w:t xml:space="preserve">, dérivé de </w:t>
      </w:r>
      <w:r>
        <w:rPr>
          <w:i/>
          <w:lang w:val="fr_FR" w:bidi="fr_FR"/>
        </w:rPr>
        <w:t>ekklēsia</w:t>
      </w:r>
      <w:r>
        <w:rPr>
          <w:lang w:val="fr_FR" w:bidi="fr_FR"/>
        </w:rPr>
        <w:t xml:space="preserve">, qui désigne une assemblée ou une congrégation. On sait que Salomon s’est adressé au peuple d’Israël lors d’assemblées importantes réunissant les chefs et les représentants des tribus (voir </w:t>
      </w:r>
      <w:r>
        <w:rPr>
          <w:lang w:val="fr_FR" w:bidi="fr_FR"/>
        </w:rPr>
        <w:t>2Ch 5.2–7.7</w:t>
      </w:r>
      <w:r>
        <w:rPr>
          <w:lang w:val="fr_FR" w:bidi="fr_FR"/>
        </w:rPr>
        <w:t>). De plus, de nombreux rois et diplomates venaient écouter sa sagesse (</w:t>
      </w:r>
      <w:r>
        <w:rPr>
          <w:lang w:val="fr_FR" w:bidi="fr_FR"/>
        </w:rPr>
        <w:t>1R 4.34</w:t>
      </w:r>
      <w:r>
        <w:rPr>
          <w:lang w:val="fr_FR" w:bidi="fr_FR"/>
        </w:rPr>
        <w:t xml:space="preserve"> ; </w:t>
      </w:r>
      <w:r>
        <w:rPr>
          <w:lang w:val="fr_FR" w:bidi="fr_FR"/>
        </w:rPr>
        <w:t>10.23–24</w:t>
      </w:r>
      <w:r>
        <w:rPr>
          <w:lang w:val="fr_FR" w:bidi="fr_FR"/>
        </w:rPr>
        <w:t>). Il est donc possible que le contenu de l’Ecclésiaste ait été prononcé publiquement à l’occasion de l’un ou l’autre de ces rassemblements.</w:t>
      </w:r>
    </w:p>
    <w:p>
      <w:pPr>
        <w:pStyle w:val="Heading2"/>
      </w:pPr>
      <w:r>
        <w:rPr>
          <w:lang w:val="fr_FR" w:bidi="fr_FR"/>
        </w:rPr>
        <w:t>L’Ecclésiaste comme œuvre de sagesse</w:t>
      </w:r>
    </w:p>
    <w:p>
      <w:pPr/>
      <w:r>
        <w:rPr>
          <w:lang w:val="fr_FR" w:bidi="fr_FR"/>
        </w:rPr>
      </w:r>
      <w:r>
        <w:rPr>
          <w:lang w:val="fr_FR" w:bidi="fr_FR"/>
        </w:rPr>
        <w:t>L’Ecclésiaste fait partie des écrits de sagesse, aux côtés de Job et des Proverbes. La littérature de sagesse met l’accent sur le fait de rechercher la faveur de Dieu au-delà de l’obéissance stricte à la loi. Ces livres explorent des voies pour que les membres du peuple de Dieu réussissent personnellement et participent à l’épanouissement collectif de la société. Dans l’Ecclésiaste, le Maître décrit la sagesse comme une compréhension globale de la manière dont Dieu agit et comment fonctionne le monde, une compréhension qu’il a acquise à travers une observation attentive et une réflexion prolongée tout au long de sa vie. Ce sont les conclusions de cette quête qu’il partage dans son enseignement.</w:t>
      </w:r>
    </w:p>
    <w:p>
      <w:pPr>
        <w:pStyle w:val="Heading2"/>
      </w:pPr>
      <w:r>
        <w:rPr>
          <w:lang w:val="fr_FR" w:bidi="fr_FR"/>
        </w:rPr>
        <w:t>Signification et message</w:t>
      </w:r>
    </w:p>
    <w:p>
      <w:pPr/>
      <w:r>
        <w:rPr>
          <w:lang w:val="fr_FR" w:bidi="fr_FR"/>
        </w:rPr>
      </w:r>
      <w:r>
        <w:rPr>
          <w:lang w:val="fr_FR" w:bidi="fr_FR"/>
        </w:rPr>
        <w:t>Dans son discours, le Qohelet soulève l’interrogation la plus profonde de l’existence : y a-t-il un sens véritable à la vie ? Si notre passage sur terre n’est qu’un souffle éphémère, comment notre existence pourrait-elle avoir une réelle signification ?</w:t>
      </w:r>
    </w:p>
    <w:p>
      <w:pPr/>
      <w:r>
        <w:rPr>
          <w:lang w:val="fr_FR" w:bidi="fr_FR"/>
        </w:rPr>
      </w:r>
      <w:r>
        <w:rPr>
          <w:lang w:val="fr_FR" w:bidi="fr_FR"/>
        </w:rPr>
        <w:t>Le Maître aborde cette réflexion existentielle en l’ancrant dans la réalité du quotidien et de la gouvernance, domaines que doivent gérer aussi bien les autorités que les simples citoyens. Son message reste cohérent, et l’éditeur en résume la portée (</w:t>
      </w:r>
      <w:r>
        <w:rPr>
          <w:lang w:val="fr_FR" w:bidi="fr_FR"/>
        </w:rPr>
        <w:t>12.13–14</w:t>
      </w:r>
      <w:r>
        <w:rPr>
          <w:lang w:val="fr_FR" w:bidi="fr_FR"/>
        </w:rPr>
        <w:t xml:space="preserve">) : la vie et tout ce qu’elle contient est éphémère et apparemment futile. Tout est passager, et face à tant de frustrations, on pourrait penser que la vie n’a aucun sens. Nos actions ne laissent rien de durable, et il est impossible de trouver un sens en restant tourné vers ce monde seul. La mort est proche, et l’oubli inévitable. C’est pourquoi il faut se souvenir de la brièveté de notre passage ici-bas, et apprendre à goûter aux joies que Dieu nous offre pendant que cela est encore possible. </w:t>
      </w:r>
    </w:p>
    <w:p>
      <w:pPr/>
      <w:r>
        <w:rPr>
          <w:lang w:val="fr_FR" w:bidi="fr_FR"/>
        </w:rPr>
      </w:r>
      <w:r>
        <w:rPr>
          <w:lang w:val="fr_FR" w:bidi="fr_FR"/>
        </w:rPr>
        <w:t>Mais ces réalités, propres à un monde marqué par la chute, ne doivent pas mener au désespoir. Car, en réalité, ce monde est régi par Dieu. Il porte donc un sens, une direction, lorsqu’on le considère en lien avec lui. Ce que nous devons rechercher, c’est une vie guidée par le respect de ses commandements et l’envie de lui être agréable, car viendra le jour où nous nous tiendrons devant lui pour le jugement.</w:t>
      </w:r>
    </w:p>
    <w:p>
      <w:pPr/>
      <w:r>
        <w:rPr>
          <w:lang w:val="fr_FR" w:bidi="fr_FR"/>
        </w:rPr>
      </w:r>
      <w:r>
        <w:rPr>
          <w:lang w:val="fr_FR" w:bidi="fr_FR"/>
        </w:rPr>
        <w:t>La sagesse que transmet l’Ecclésiaste consiste à affronter les réalités de cette existence, et même à y trouver un équilibre, malgré sa fragilité et son apparente futilité. Même si le sens profond des actions de Dieu nous échappe, même si nous ne saisissons pas toujours pourquoi certaines choses arrivent, l’Ecclésiaste nous rappelle que l’Éternel demeure souverain et qu’il agit puissamment, que les circonstances soient heureuses ou douloureuses. Ceux qui mettent leur confiance en lui comprendront que cette vie n’est pas absurde, mais qu’elle nous invite à vivre avec discernement, à œuvrer avec sérieux et à savourer les bienfaits qu’il nous accorde au fil des jours.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