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 (Book Intros)</w:t>
      </w:r>
      <w:r>
        <w:rPr>
          <w:lang w:val="id_ID" w:bidi="id_ID"/>
        </w:rPr>
      </w:r>
    </w:p>
    <w:p>
      <w:pPr/>
      <w:r>
        <w:rPr>
          <w:lang w:val="id_ID" w:bidi="id_ID"/>
        </w:rPr>
      </w:r>
      <w:r>
        <w:rPr>
          <w:b/>
          <w:lang w:val="id_ID" w:bidi="id_ID"/>
        </w:rPr>
        <w:t>Aquifer Open Study Notes (Book Intros)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NUM</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Bilangan</w:t>
      </w:r>
      <w:r>
        <w:rPr>
          <w:lang w:val="id_ID" w:bidi="id_ID"/>
        </w:rPr>
      </w:r>
    </w:p>
    <w:p>
      <w:pPr/>
      <w:r>
        <w:rPr>
          <w:lang w:val="id_ID" w:bidi="id_ID"/>
        </w:rPr>
      </w:r>
      <w:r>
        <w:rPr>
          <w:lang w:val="id_ID" w:bidi="id_ID"/>
        </w:rPr>
        <w:t>Kitab Bilangan menceritakan kisah bangsa Israel di padang gurun, dalam perjalanan menuju Tanah Perjanjian dari Gunung Sinai. Ketika Musa memimpin bangsa Israel dari Mesir ke Kanaan, Allah menguji umat-Nya di padang gurun untuk melihat apakah mereka akan setia kepada-Nya sebagai bangsa yang bersatu. Kitab Bilangan mendokumentasikan keberhasilan dan kegagalan mereka. Ketidaktaatan Israel mengakibatkan penghakiman dari Tuhan, yang selalu diimbangi dengan ketekunan-Nya yang sabar dalam membangun sebuah generasi baru untuk menggenapi rencana-Nya. Dengan banyaknya kisah dan penjelasan rinci tentang hukum-hukum Allah, kitab Bilangan memberikan kepada kita kisah dramatis tentang sifat Tuhan, perjanjian-Nya, dan rencana-Nya bagi umat-Nya.</w:t>
      </w:r>
    </w:p>
    <w:p>
      <w:pPr>
        <w:pStyle w:val="Heading2"/>
      </w:pPr>
      <w:r>
        <w:rPr>
          <w:lang w:val="id_ID" w:bidi="id_ID"/>
        </w:rPr>
        <w:t>Latar Belakang</w:t>
      </w:r>
    </w:p>
    <w:p>
      <w:pPr/>
      <w:r>
        <w:rPr>
          <w:lang w:val="id_ID" w:bidi="id_ID"/>
        </w:rPr>
      </w:r>
      <w:r>
        <w:rPr>
          <w:lang w:val="id_ID" w:bidi="id_ID"/>
        </w:rPr>
        <w:t>Setelah meninggalkan Mesir, bangsa Israel melakukan perjalanan ke Gunung Sinai, di mana Allah memberikan mereka hukum Taurat (lihat Kitab Keluaran). Mereka tinggal di Sinai selama satu tahun sebelum melakukan perjalanan melalui padang gurun ke Transyordan (wilayah di sebelah timur Sungai Yordan) untuk berkemah di dataran Moab. Allah menguji Israel di padang gurun saat generasi yang keluar dari Mesir meninggal, dan generasi baru bersiap untuk memasuki Tanah Perjanjian. Kitab Bilangan memberikan instruksi kepada generasi baru yang berkemah di dataran Moab untuk menaati Tuhan.</w:t>
      </w:r>
    </w:p>
    <w:p>
      <w:pPr/>
      <w:r>
        <w:rPr>
          <w:lang w:val="id_ID" w:bidi="id_ID"/>
        </w:rPr>
      </w:r>
      <w:r>
        <w:rPr>
          <w:lang w:val="id_ID" w:bidi="id_ID"/>
        </w:rPr>
        <w:t>Israel dibentuk dan dimurnikan selama pengembaraan di padang gurun ini. Melalui karya sastra Musa (serta para penulis dan editor selanjutnya), Kitab Bilangan memungkinkan generasi berikutnya mendengar kisah tersebut. Dengan demikian, ini menjadi bagian penting dari ingatan orang Ibrani. Kitab Bilangan ditulis agar mereka yang belajar dari sejarah tidak perlu mengulangi kesalahan masa lalu.</w:t>
      </w:r>
    </w:p>
    <w:p>
      <w:pPr>
        <w:pStyle w:val="Heading2"/>
      </w:pPr>
      <w:r>
        <w:rPr>
          <w:lang w:val="id_ID" w:bidi="id_ID"/>
        </w:rPr>
        <w:t>Ringkasan</w:t>
      </w:r>
    </w:p>
    <w:p>
      <w:pPr/>
      <w:r>
        <w:rPr>
          <w:lang w:val="id_ID" w:bidi="id_ID"/>
        </w:rPr>
      </w:r>
      <w:r>
        <w:rPr>
          <w:lang w:val="id_ID" w:bidi="id_ID"/>
        </w:rPr>
        <w:t>Kitab Bilangan mendapatkan strukturnya dari tiga tahap perjalanan Israel melalui padang gurun: (1) sembilan belas hari saat Israel bersiap untuk berangkat dari Gunung Sinai (</w:t>
      </w:r>
      <w:r>
        <w:rPr>
          <w:lang w:val="id_ID" w:bidi="id_ID"/>
        </w:rPr>
        <w:t>Bil. 1:1–10:10</w:t>
      </w:r>
      <w:r>
        <w:rPr>
          <w:lang w:val="id_ID" w:bidi="id_ID"/>
        </w:rPr>
        <w:t>), (2) perjalanan selama tiga puluh sembilan tahun dari Sinai ke dataran Moab (</w:t>
      </w:r>
      <w:r>
        <w:rPr>
          <w:lang w:val="id_ID" w:bidi="id_ID"/>
        </w:rPr>
        <w:t>Bil. 10:11–22:1</w:t>
      </w:r>
      <w:r>
        <w:rPr>
          <w:lang w:val="id_ID" w:bidi="id_ID"/>
        </w:rPr>
        <w:t>), dan (3) bulan-bulan terakhir perkemahan Israel di dataran Moab sebelum mereka memasuki Kanaan (</w:t>
      </w:r>
      <w:r>
        <w:rPr>
          <w:lang w:val="id_ID" w:bidi="id_ID"/>
        </w:rPr>
        <w:t>Bil. 21:1–36:13</w:t>
      </w:r>
      <w:r>
        <w:rPr>
          <w:lang w:val="id_ID" w:bidi="id_ID"/>
        </w:rPr>
        <w:t>).</w:t>
      </w:r>
    </w:p>
    <w:p>
      <w:pPr/>
      <w:r>
        <w:rPr>
          <w:lang w:val="id_ID" w:bidi="id_ID"/>
        </w:rPr>
      </w:r>
      <w:r>
        <w:rPr>
          <w:lang w:val="id_ID" w:bidi="id_ID"/>
        </w:rPr>
        <w:t xml:space="preserve">Dua kali pendataan laki-laki Israel yang telah cukup umur untuk berperang (pasal </w:t>
      </w:r>
      <w:r>
        <w:rPr>
          <w:lang w:val="id_ID" w:bidi="id_ID"/>
        </w:rPr>
        <w:t>1–4</w:t>
      </w:r>
      <w:r>
        <w:rPr>
          <w:lang w:val="id_ID" w:bidi="id_ID"/>
        </w:rPr>
        <w:t xml:space="preserve">, </w:t>
      </w:r>
      <w:r>
        <w:rPr>
          <w:lang w:val="id_ID" w:bidi="id_ID"/>
        </w:rPr>
        <w:t>26</w:t>
      </w:r>
      <w:r>
        <w:rPr>
          <w:lang w:val="id_ID" w:bidi="id_ID"/>
        </w:rPr>
        <w:t>) juga membentuk struktur Kitab Bilangan. Pendataan ini terutama bertujuan untuk mengukur kekuatan pasukan tempur Israel serta jumlah orang Lewi, dengan jumlah keseluruhan yang dicatat pada awal kitab dan menjelang akhir kitab mewakili dua generasi yang sama sekali berbeda. Sensus yang pertama mencatat generasi yang memberontak yang keluar dari Mesir, menerima hukum Taurat di Sinai, dan meninggal di padang gurun. Pendataan yang kedua mencatat generasi baru orang Israel yang akan memasuki Tanah Perjanjian. Jumlah dalam kedua hitungan tersebut sangat berdekatan, yang menunjukkan bahwa generasi kedua sepenuhnya menggantikan generasi yang pertama.</w:t>
      </w:r>
    </w:p>
    <w:p>
      <w:pPr/>
      <w:r>
        <w:rPr>
          <w:lang w:val="id_ID" w:bidi="id_ID"/>
        </w:rPr>
      </w:r>
      <w:r>
        <w:rPr>
          <w:lang w:val="id_ID" w:bidi="id_ID"/>
        </w:rPr>
        <w:t xml:space="preserve">Sepanjang perjalanan, orang Ibrani yang meninggalkan Mesir berulang kali memberontak (pasal </w:t>
      </w:r>
      <w:r>
        <w:rPr>
          <w:lang w:val="id_ID" w:bidi="id_ID"/>
        </w:rPr>
        <w:t>11</w:t>
      </w:r>
      <w:r>
        <w:rPr>
          <w:lang w:val="id_ID" w:bidi="id_ID"/>
        </w:rPr>
        <w:t xml:space="preserve">, </w:t>
      </w:r>
      <w:r>
        <w:rPr>
          <w:lang w:val="id_ID" w:bidi="id_ID"/>
        </w:rPr>
        <w:t>12</w:t>
      </w:r>
      <w:r>
        <w:rPr>
          <w:lang w:val="id_ID" w:bidi="id_ID"/>
        </w:rPr>
        <w:t xml:space="preserve">, </w:t>
      </w:r>
      <w:r>
        <w:rPr>
          <w:lang w:val="id_ID" w:bidi="id_ID"/>
        </w:rPr>
        <w:t>14</w:t>
      </w:r>
      <w:r>
        <w:rPr>
          <w:lang w:val="id_ID" w:bidi="id_ID"/>
        </w:rPr>
        <w:t xml:space="preserve">, </w:t>
      </w:r>
      <w:r>
        <w:rPr>
          <w:lang w:val="id_ID" w:bidi="id_ID"/>
        </w:rPr>
        <w:t>16–17</w:t>
      </w:r>
      <w:r>
        <w:rPr>
          <w:lang w:val="id_ID" w:bidi="id_ID"/>
        </w:rPr>
        <w:t xml:space="preserve">, </w:t>
      </w:r>
      <w:r>
        <w:rPr>
          <w:lang w:val="id_ID" w:bidi="id_ID"/>
        </w:rPr>
        <w:t>20</w:t>
      </w:r>
      <w:r>
        <w:rPr>
          <w:lang w:val="id_ID" w:bidi="id_ID"/>
        </w:rPr>
        <w:t xml:space="preserve">, </w:t>
      </w:r>
      <w:r>
        <w:rPr>
          <w:lang w:val="id_ID" w:bidi="id_ID"/>
        </w:rPr>
        <w:t>25</w:t>
      </w:r>
      <w:r>
        <w:rPr>
          <w:lang w:val="id_ID" w:bidi="id_ID"/>
        </w:rPr>
        <w:t>). Mereka semua meninggal di padang gurun kecuali Yosua dan Kaleb, yang imannya patut dijadikan teladan (</w:t>
      </w:r>
      <w:r>
        <w:rPr>
          <w:lang w:val="id_ID" w:bidi="id_ID"/>
        </w:rPr>
        <w:t>Bil. 13:30</w:t>
      </w:r>
      <w:r>
        <w:rPr>
          <w:lang w:val="id_ID" w:bidi="id_ID"/>
        </w:rPr>
        <w:t xml:space="preserve">; </w:t>
      </w:r>
      <w:r>
        <w:rPr>
          <w:lang w:val="id_ID" w:bidi="id_ID"/>
        </w:rPr>
        <w:t>14:6–9</w:t>
      </w:r>
      <w:r>
        <w:rPr>
          <w:lang w:val="id_ID" w:bidi="id_ID"/>
        </w:rPr>
        <w:t>).</w:t>
      </w:r>
    </w:p>
    <w:p>
      <w:pPr/>
      <w:r>
        <w:rPr>
          <w:lang w:val="id_ID" w:bidi="id_ID"/>
        </w:rPr>
      </w:r>
      <w:r>
        <w:rPr>
          <w:lang w:val="id_ID" w:bidi="id_ID"/>
        </w:rPr>
        <w:t xml:space="preserve">Pasukan Israel diuji pada beberapa kesempatan sebelum mereka memasuki Kanaan (pasal </w:t>
      </w:r>
      <w:r>
        <w:rPr>
          <w:lang w:val="id_ID" w:bidi="id_ID"/>
        </w:rPr>
        <w:t>14</w:t>
      </w:r>
      <w:r>
        <w:rPr>
          <w:lang w:val="id_ID" w:bidi="id_ID"/>
        </w:rPr>
        <w:t xml:space="preserve">, </w:t>
      </w:r>
      <w:r>
        <w:rPr>
          <w:lang w:val="id_ID" w:bidi="id_ID"/>
        </w:rPr>
        <w:t>21</w:t>
      </w:r>
      <w:r>
        <w:rPr>
          <w:lang w:val="id_ID" w:bidi="id_ID"/>
        </w:rPr>
        <w:t xml:space="preserve">, </w:t>
      </w:r>
      <w:r>
        <w:rPr>
          <w:lang w:val="id_ID" w:bidi="id_ID"/>
        </w:rPr>
        <w:t>31</w:t>
      </w:r>
      <w:r>
        <w:rPr>
          <w:lang w:val="id_ID" w:bidi="id_ID"/>
        </w:rPr>
        <w:t xml:space="preserve">), dan kisah tentang Bileam diceritakan kembali (pasal </w:t>
      </w:r>
      <w:r>
        <w:rPr>
          <w:lang w:val="id_ID" w:bidi="id_ID"/>
        </w:rPr>
        <w:t>22–24</w:t>
      </w:r>
      <w:r>
        <w:rPr>
          <w:lang w:val="id_ID" w:bidi="id_ID"/>
        </w:rPr>
        <w:t xml:space="preserve">). Pengaturan dibuat untuk pemukiman di wilayah seberang Yordan (pasal </w:t>
      </w:r>
      <w:r>
        <w:rPr>
          <w:lang w:val="id_ID" w:bidi="id_ID"/>
        </w:rPr>
        <w:t>32</w:t>
      </w:r>
      <w:r>
        <w:rPr>
          <w:lang w:val="id_ID" w:bidi="id_ID"/>
        </w:rPr>
        <w:t xml:space="preserve">), perjalanan di padang gurun ditinjau kembali (pasal </w:t>
      </w:r>
      <w:r>
        <w:rPr>
          <w:lang w:val="id_ID" w:bidi="id_ID"/>
        </w:rPr>
        <w:t>33</w:t>
      </w:r>
      <w:r>
        <w:rPr>
          <w:lang w:val="id_ID" w:bidi="id_ID"/>
        </w:rPr>
        <w:t xml:space="preserve">), dan Musa menantikan pendudukan Kanaan (pasal </w:t>
      </w:r>
      <w:r>
        <w:rPr>
          <w:lang w:val="id_ID" w:bidi="id_ID"/>
        </w:rPr>
        <w:t>34–36</w:t>
      </w:r>
      <w:r>
        <w:rPr>
          <w:lang w:val="id_ID" w:bidi="id_ID"/>
        </w:rPr>
        <w:t>).</w:t>
      </w:r>
    </w:p>
    <w:p>
      <w:pPr/>
      <w:r>
        <w:rPr>
          <w:lang w:val="id_ID" w:bidi="id_ID"/>
        </w:rPr>
      </w:r>
      <w:r>
        <w:rPr>
          <w:lang w:val="id_ID" w:bidi="id_ID"/>
        </w:rPr>
        <w:t>Kitab Bilangan merupakan suatu studi kasus tentang bagaimana Israel memelihara—dan juga gagal memelihara—ketentuan-ketentuan perjanjian dalam kehidupan mereka sehari-hari.</w:t>
      </w:r>
    </w:p>
    <w:p>
      <w:pPr>
        <w:pStyle w:val="Heading2"/>
      </w:pPr>
      <w:r>
        <w:rPr>
          <w:lang w:val="id_ID" w:bidi="id_ID"/>
        </w:rPr>
        <w:t>Penulisan</w:t>
      </w:r>
    </w:p>
    <w:p>
      <w:pPr/>
      <w:r>
        <w:rPr>
          <w:lang w:val="id_ID" w:bidi="id_ID"/>
        </w:rPr>
      </w:r>
      <w:r>
        <w:rPr>
          <w:lang w:val="id_ID" w:bidi="id_ID"/>
        </w:rPr>
        <w:t xml:space="preserve">Seperti halnya kitab-kitab Pentateukh lainnya, Musa secara tradisional diakui sebagai penulis Kitab Bilangan. Hingga munculnya kajian modern, baik sarjana Yahudi maupun Kristen meyakini kepenulisan Musa; Perjanjian Lama, Perjanjian Baru, dan banyak literatur Yahudi kuno juga membuat asumsi ini. Referensi mengenai peran Musa sebagai penulis muncul di seluruh Kitab Pentateukh (mis., </w:t>
      </w:r>
      <w:r>
        <w:rPr>
          <w:lang w:val="id_ID" w:bidi="id_ID"/>
        </w:rPr>
        <w:t>Bil. 33:1–2</w:t>
      </w:r>
      <w:r>
        <w:rPr>
          <w:lang w:val="id_ID" w:bidi="id_ID"/>
        </w:rPr>
        <w:t>). Tidak ada alasan untuk mengecualikan Musa sebagai penulis utama—berdasarkan isi atau tingkat literasi yang mungkin pada saat Keluaran dan penaklukkan—kecuali dalam bagian seperti kisah kematiannya (</w:t>
      </w:r>
      <w:r>
        <w:rPr>
          <w:lang w:val="id_ID" w:bidi="id_ID"/>
        </w:rPr>
        <w:t>Ul. 34</w:t>
      </w:r>
      <w:r>
        <w:rPr>
          <w:lang w:val="id_ID" w:bidi="id_ID"/>
        </w:rPr>
        <w:t>). Juga mungkin bahwa Musa mengawasi kompilasi kitab-kitab yang dikreditkan kepadanya atau, seperti rasul Paulus, mendikte bagian dari tulisannya.</w:t>
      </w:r>
    </w:p>
    <w:p>
      <w:pPr/>
      <w:r>
        <w:rPr>
          <w:lang w:val="id_ID" w:bidi="id_ID"/>
        </w:rPr>
      </w:r>
      <w:r>
        <w:rPr>
          <w:lang w:val="id_ID" w:bidi="id_ID"/>
        </w:rPr>
        <w:t xml:space="preserve">Banyak ahli mengemukakan berbagai sumber yang digunakan oleh editor untuk menyusun kitab-kitab Pentateukh, tetapi "Hipotesis Dokumenter" ini tetap bersifat spekulatif (lihat </w:t>
      </w:r>
      <w:r>
        <w:rPr>
          <w:lang w:val="id_ID" w:bidi="id_ID"/>
        </w:rPr>
        <w:t>Pengantar Kitab Kejadian,</w:t>
      </w:r>
      <w:r>
        <w:rPr>
          <w:lang w:val="id_ID" w:bidi="id_ID"/>
        </w:rPr>
        <w:t xml:space="preserve"> "Kepengarangan"). Meskipun ada modifikasi oleh juru tulis dan editor, Kitab Bilangan secara substansial tetap mewakili dirinya sebagai karya Musa.</w:t>
      </w:r>
    </w:p>
    <w:p>
      <w:pPr>
        <w:pStyle w:val="Heading2"/>
      </w:pPr>
      <w:r>
        <w:rPr>
          <w:lang w:val="id_ID" w:bidi="id_ID"/>
        </w:rPr>
        <w:t>Tanggal dan Geografi</w:t>
      </w:r>
    </w:p>
    <w:p>
      <w:pPr/>
      <w:r>
        <w:rPr>
          <w:lang w:val="id_ID" w:bidi="id_ID"/>
        </w:rPr>
      </w:r>
      <w:r>
        <w:rPr>
          <w:lang w:val="id_ID" w:bidi="id_ID"/>
        </w:rPr>
        <w:t xml:space="preserve">Data geografis, budaya, dan linguistik terkait Kitab Bilangan sesuai dengan tanggal awal atau akhir (1400-an atau 1200-an Sebelum Masehi) untuk peristiwa Keluaran dan penaklukan (lihat </w:t>
      </w:r>
      <w:r>
        <w:rPr>
          <w:lang w:val="id_ID" w:bidi="id_ID"/>
        </w:rPr>
        <w:t>Pengantar Kitab Keluaran,</w:t>
      </w:r>
      <w:r>
        <w:rPr>
          <w:lang w:val="id_ID" w:bidi="id_ID"/>
        </w:rPr>
        <w:t xml:space="preserve"> “Tanggal Keluaran”).</w:t>
      </w:r>
    </w:p>
    <w:p>
      <w:pPr/>
      <w:r>
        <w:rPr>
          <w:lang w:val="id_ID" w:bidi="id_ID"/>
        </w:rPr>
      </w:r>
      <w:r>
        <w:rPr>
          <w:lang w:val="id_ID" w:bidi="id_ID"/>
        </w:rPr>
        <w:t>Bukti arkeologi dari Sinai, Negeb, dan Transyordania (Edom, Moab, dan Amon) juga memberikan kontribusi signifikan terhadap diskusi mengenai latar belakang sejarah penaklukkan. Para ahli belum dapat mengidentifikasi lokasi yang tepat untuk banyak nama tempat yang disebutkan dalam perjalanan di padang gurun, dan terdapat masalah dengan berbagai situs lain yang disebutkan dalam Kitab Bilangan.</w:t>
      </w:r>
    </w:p>
    <w:p>
      <w:pPr>
        <w:pStyle w:val="Heading2"/>
      </w:pPr>
      <w:r>
        <w:rPr>
          <w:lang w:val="id_ID" w:bidi="id_ID"/>
        </w:rPr>
        <w:t>Permasalahan dalam Sastra</w:t>
      </w:r>
    </w:p>
    <w:p>
      <w:pPr/>
      <w:r>
        <w:rPr>
          <w:lang w:val="id_ID" w:bidi="id_ID"/>
        </w:rPr>
      </w:r>
      <w:r>
        <w:rPr>
          <w:lang w:val="id_ID" w:bidi="id_ID"/>
        </w:rPr>
        <w:t xml:space="preserve">Judul Kitab. Nama "Bilangan" berasal dari fokus Kitab ini pada statistik (lihat pasal </w:t>
      </w:r>
      <w:r>
        <w:rPr>
          <w:lang w:val="id_ID" w:bidi="id_ID"/>
        </w:rPr>
        <w:t>1–4</w:t>
      </w:r>
      <w:r>
        <w:rPr>
          <w:lang w:val="id_ID" w:bidi="id_ID"/>
        </w:rPr>
        <w:t xml:space="preserve">, </w:t>
      </w:r>
      <w:r>
        <w:rPr>
          <w:lang w:val="id_ID" w:bidi="id_ID"/>
        </w:rPr>
        <w:t>26</w:t>
      </w:r>
      <w:r>
        <w:rPr>
          <w:lang w:val="id_ID" w:bidi="id_ID"/>
        </w:rPr>
        <w:t xml:space="preserve">). Judul ini adalah terjemahan bahasa Indonesia dari judul Latin </w:t>
      </w:r>
      <w:r>
        <w:rPr>
          <w:i/>
          <w:lang w:val="id_ID" w:bidi="id_ID"/>
        </w:rPr>
        <w:t>Numeri</w:t>
      </w:r>
      <w:r>
        <w:rPr>
          <w:lang w:val="id_ID" w:bidi="id_ID"/>
        </w:rPr>
        <w:t xml:space="preserve"> dan Yunani </w:t>
      </w:r>
      <w:r>
        <w:rPr>
          <w:i/>
          <w:lang w:val="id_ID" w:bidi="id_ID"/>
        </w:rPr>
        <w:t>Arithmoi</w:t>
      </w:r>
      <w:r>
        <w:rPr>
          <w:lang w:val="id_ID" w:bidi="id_ID"/>
        </w:rPr>
        <w:t xml:space="preserve">, nama yang diberikan kepada Kitab ini oleh terjemahan Latin Vulgata dan Septuaginta Yunani dari Perjanjian Lama. Catatan registrasi menunjukkan dengan presisi matematis bahwa orang Israel yang meninggalkan Mesir bukanlah orang yang sama yang menyeberangi Sungai Yordan ke Kanaan. Dalam Alkitab Ibrani, Kitab Bilangan disebut bemidbar (“di padang gurun”), kata keempat dari </w:t>
      </w:r>
      <w:r>
        <w:rPr>
          <w:lang w:val="id_ID" w:bidi="id_ID"/>
        </w:rPr>
        <w:t>Bil. 1:1</w:t>
      </w:r>
      <w:r>
        <w:rPr>
          <w:lang w:val="id_ID" w:bidi="id_ID"/>
        </w:rPr>
        <w:t xml:space="preserve"> dalam teks Ibrani. Judul ini sangat tepat, karena mencerminkan latar geografis dan kerangka kronologis Kitab ini.</w:t>
      </w:r>
    </w:p>
    <w:p>
      <w:pPr/>
      <w:r>
        <w:rPr>
          <w:lang w:val="id_ID" w:bidi="id_ID"/>
        </w:rPr>
      </w:r>
      <w:r>
        <w:rPr>
          <w:lang w:val="id_ID" w:bidi="id_ID"/>
        </w:rPr>
        <w:t xml:space="preserve">Genre Sastra. Kitab Bilangan mencakup berbagai genre sastra umum, seperti narasi (mis., </w:t>
      </w:r>
      <w:r>
        <w:rPr>
          <w:lang w:val="id_ID" w:bidi="id_ID"/>
        </w:rPr>
        <w:t>Bil. 10:11–14:45</w:t>
      </w:r>
      <w:r>
        <w:rPr>
          <w:lang w:val="id_ID" w:bidi="id_ID"/>
        </w:rPr>
        <w:t xml:space="preserve">), puisi (mis., pasal </w:t>
      </w:r>
      <w:r>
        <w:rPr>
          <w:lang w:val="id_ID" w:bidi="id_ID"/>
        </w:rPr>
        <w:t>23–24</w:t>
      </w:r>
      <w:r>
        <w:rPr>
          <w:lang w:val="id_ID" w:bidi="id_ID"/>
        </w:rPr>
        <w:t xml:space="preserve">), dan hukum (mis., pasal </w:t>
      </w:r>
      <w:r>
        <w:rPr>
          <w:lang w:val="id_ID" w:bidi="id_ID"/>
        </w:rPr>
        <w:t>4–6</w:t>
      </w:r>
      <w:r>
        <w:rPr>
          <w:lang w:val="id_ID" w:bidi="id_ID"/>
        </w:rPr>
        <w:t xml:space="preserve">). Kitab ini juga berisi daftar rincian fakta dan angka, seperti hasil pendataan (mis., pasal </w:t>
      </w:r>
      <w:r>
        <w:rPr>
          <w:lang w:val="id_ID" w:bidi="id_ID"/>
        </w:rPr>
        <w:t>1–4</w:t>
      </w:r>
      <w:r>
        <w:rPr>
          <w:lang w:val="id_ID" w:bidi="id_ID"/>
        </w:rPr>
        <w:t xml:space="preserve">), persembahan (misalnya, pasal </w:t>
      </w:r>
      <w:r>
        <w:rPr>
          <w:lang w:val="id_ID" w:bidi="id_ID"/>
        </w:rPr>
        <w:t>7</w:t>
      </w:r>
      <w:r>
        <w:rPr>
          <w:lang w:val="id_ID" w:bidi="id_ID"/>
        </w:rPr>
        <w:t xml:space="preserve">), dan rencana perjalanan (mis., pasal </w:t>
      </w:r>
      <w:r>
        <w:rPr>
          <w:lang w:val="id_ID" w:bidi="id_ID"/>
        </w:rPr>
        <w:t>33</w:t>
      </w:r>
      <w:r>
        <w:rPr>
          <w:lang w:val="id_ID" w:bidi="id_ID"/>
        </w:rPr>
        <w:t xml:space="preserve">). Terjemahan NLT menyusun berbagai daftar prosa tersebut ke dalam tabel-tabel ringkas berisi nama dan jumlah (pasal </w:t>
      </w:r>
      <w:r>
        <w:rPr>
          <w:lang w:val="id_ID" w:bidi="id_ID"/>
        </w:rPr>
        <w:t>1–2</w:t>
      </w:r>
      <w:r>
        <w:rPr>
          <w:lang w:val="id_ID" w:bidi="id_ID"/>
        </w:rPr>
        <w:t xml:space="preserve">; </w:t>
      </w:r>
      <w:r>
        <w:rPr>
          <w:lang w:val="id_ID" w:bidi="id_ID"/>
        </w:rPr>
        <w:t>13</w:t>
      </w:r>
      <w:r>
        <w:rPr>
          <w:lang w:val="id_ID" w:bidi="id_ID"/>
        </w:rPr>
        <w:t xml:space="preserve">, </w:t>
      </w:r>
      <w:r>
        <w:rPr>
          <w:lang w:val="id_ID" w:bidi="id_ID"/>
        </w:rPr>
        <w:t>34</w:t>
      </w:r>
      <w:r>
        <w:rPr>
          <w:lang w:val="id_ID" w:bidi="id_ID"/>
        </w:rPr>
        <w:t>).</w:t>
      </w:r>
    </w:p>
    <w:p>
      <w:pPr/>
      <w:r>
        <w:rPr>
          <w:lang w:val="id_ID" w:bidi="id_ID"/>
        </w:rPr>
      </w:r>
      <w:r>
        <w:rPr>
          <w:lang w:val="id_ID" w:bidi="id_ID"/>
        </w:rPr>
        <w:t xml:space="preserve">Sumber Sastra. Alkitab Ibrani mengidentifikasi sumber-sumber kuno yang dikonsultasikan oleh Musa (dan mungkin editor-editor selanjutnya), seperti </w:t>
      </w:r>
      <w:r>
        <w:rPr>
          <w:i/>
          <w:lang w:val="id_ID" w:bidi="id_ID"/>
        </w:rPr>
        <w:t xml:space="preserve">Kitab Peperangan </w:t>
      </w:r>
      <w:r>
        <w:rPr>
          <w:lang w:val="id_ID" w:bidi="id_ID"/>
        </w:rPr>
        <w:t>TUHAN (</w:t>
      </w:r>
      <w:r>
        <w:rPr>
          <w:lang w:val="id_ID" w:bidi="id_ID"/>
        </w:rPr>
        <w:t>Bil. 21:14–15</w:t>
      </w:r>
      <w:r>
        <w:rPr>
          <w:lang w:val="id_ID" w:bidi="id_ID"/>
        </w:rPr>
        <w:t>), “Nyanyian tentang Sumur” (</w:t>
      </w:r>
      <w:r>
        <w:rPr>
          <w:lang w:val="id_ID" w:bidi="id_ID"/>
        </w:rPr>
        <w:t>Bil. 21:17–18</w:t>
      </w:r>
      <w:r>
        <w:rPr>
          <w:lang w:val="id_ID" w:bidi="id_ID"/>
        </w:rPr>
        <w:t>), dan “Nyanyian tentang Hesybon” (</w:t>
      </w:r>
      <w:r>
        <w:rPr>
          <w:lang w:val="id_ID" w:bidi="id_ID"/>
        </w:rPr>
        <w:t>Bil. 21:27–30</w:t>
      </w:r>
      <w:r>
        <w:rPr>
          <w:lang w:val="id_ID" w:bidi="id_ID"/>
        </w:rPr>
        <w:t xml:space="preserve">). Pasal </w:t>
      </w:r>
      <w:r>
        <w:rPr>
          <w:lang w:val="id_ID" w:bidi="id_ID"/>
        </w:rPr>
        <w:t>23–24</w:t>
      </w:r>
      <w:r>
        <w:rPr>
          <w:lang w:val="id_ID" w:bidi="id_ID"/>
        </w:rPr>
        <w:t xml:space="preserve"> mengandung banyak baris puitis dari nabi non-Israel, Bileam; </w:t>
      </w:r>
      <w:r>
        <w:rPr>
          <w:lang w:val="id_ID" w:bidi="id_ID"/>
        </w:rPr>
        <w:t>Bil. 31:32–47</w:t>
      </w:r>
      <w:r>
        <w:rPr>
          <w:lang w:val="id_ID" w:bidi="id_ID"/>
        </w:rPr>
        <w:t xml:space="preserve"> tampaknya didasarkan pada catatan nyata tentang rampasan perang; dan Pasal </w:t>
      </w:r>
      <w:r>
        <w:rPr>
          <w:lang w:val="id_ID" w:bidi="id_ID"/>
        </w:rPr>
        <w:t>33</w:t>
      </w:r>
      <w:r>
        <w:rPr>
          <w:lang w:val="id_ID" w:bidi="id_ID"/>
        </w:rPr>
        <w:t xml:space="preserve"> tampaknya berasal dari suatu catatan perjalanan tertulis.</w:t>
      </w:r>
    </w:p>
    <w:p>
      <w:pPr/>
      <w:r>
        <w:rPr>
          <w:lang w:val="id_ID" w:bidi="id_ID"/>
        </w:rPr>
      </w:r>
      <w:r>
        <w:rPr>
          <w:lang w:val="id_ID" w:bidi="id_ID"/>
        </w:rPr>
        <w:t xml:space="preserve">Teks. Teks Ibrani dari Kitab Bilangan sangat terjaga dengan baik, kecuali beberapa bagian puisi dalam pasal </w:t>
      </w:r>
      <w:r>
        <w:rPr>
          <w:lang w:val="id_ID" w:bidi="id_ID"/>
        </w:rPr>
        <w:t>21–24</w:t>
      </w:r>
      <w:r>
        <w:rPr>
          <w:lang w:val="id_ID" w:bidi="id_ID"/>
        </w:rPr>
        <w:t xml:space="preserve"> yang sulit diinterpretasikan. Kondisi baik dari teks Ibrani ini terlihat ketika membandingkan Teks Masoret Ibrani (tahun 900-an M) dengan fragmen Kitab Bilangan yang jauh lebih awal ditemukan di Gulungan Laut Mati (150 Sebelum Masehi—125 M); hanya ada beberapa variasi yang tidak signifikan di antara keduanya. Perbedaan yang lebih besar terdapat antara Teks Masoret, bagian yang setara dalam Perjanjian Lama Yunani (Septuaginta), dan Pentateukh Samaria, tetapi mereka mewakili perbedaan interpretasi yang disengaja, bukan hanya variasi bacaan dari manuskrip.</w:t>
      </w:r>
    </w:p>
    <w:p>
      <w:pPr>
        <w:pStyle w:val="Heading2"/>
      </w:pPr>
      <w:r>
        <w:rPr>
          <w:lang w:val="id_ID" w:bidi="id_ID"/>
        </w:rPr>
        <w:t>Arti dan Pesan</w:t>
      </w:r>
    </w:p>
    <w:p>
      <w:pPr/>
      <w:r>
        <w:rPr>
          <w:lang w:val="id_ID" w:bidi="id_ID"/>
        </w:rPr>
      </w:r>
      <w:r>
        <w:rPr>
          <w:lang w:val="id_ID" w:bidi="id_ID"/>
        </w:rPr>
        <w:t>Kitab Bilangan menjelaskan bagaimana Allah memenuhi kebutuhan umat-Nya dan mencatat ketidaktaatan berulang bangsa Israel ketika mereka memberontak melawan perintah Tuhan. Bangsa Israel mengembara di padang gurun selama empat puluh tahun bukan karena tersesat, tetapi karena ketidakpercayaan dan pemberontakan mereka.</w:t>
      </w:r>
    </w:p>
    <w:p>
      <w:pPr/>
      <w:r>
        <w:rPr>
          <w:lang w:val="id_ID" w:bidi="id_ID"/>
        </w:rPr>
      </w:r>
      <w:r>
        <w:rPr>
          <w:lang w:val="id_ID" w:bidi="id_ID"/>
        </w:rPr>
        <w:t>Kitab Bilangan menyoroti perjuangan Israel dengan Allah. Setiap kali Allah memanggil bangsa Israel untuk mematuhi hukum, mereka sering kali tidak mematuhinya. Bangsa Israel dapat mengandalkan penyediaan Allah untuk kebutuhan fisik mereka serta bimbingan dan petunjuk melalui pemimpin yang dipilih. Namun, penyediaan Allah yang berkelanjutan sering kali disambut dengan kurangnya iman. Kitab Bilangan menggambarkan penghakiman cepat dari Allah yang kudus, sambil mengajarkan bahwa Tuhan itu setia dan sabar.</w:t>
      </w:r>
    </w:p>
    <w:p>
      <w:pPr/>
      <w:r>
        <w:rPr>
          <w:lang w:val="id_ID" w:bidi="id_ID"/>
        </w:rPr>
      </w:r>
      <w:r>
        <w:rPr>
          <w:lang w:val="id_ID" w:bidi="id_ID"/>
        </w:rPr>
        <w:t>Seperti halnya di Israel kuno, semua komunitas orang percaya membutuhkan kepemimpinan yang kuat, dan Kitab Bilangan terus mengingatkan mereka yang terlalu mudah melupakan sifat kudus Allah. Episode-episode tertentu dari Kitab Bilangan digunakan dalam Perjanjian Baru sebagai pelajaran berharga:</w:t>
      </w:r>
    </w:p>
    <w:p>
      <w:pPr>
        <w:pStyle w:val="ListBullet"/>
        <w:spacing w:line="240" w:lineRule="auto"/>
        <w:ind w:left="720"/>
      </w:pPr>
      <w:r>
        <w:rPr>
          <w:lang w:val="id_ID" w:bidi="id_ID"/>
        </w:rPr>
      </w:r>
      <w:r>
        <w:rPr>
          <w:lang w:val="id_ID" w:bidi="id_ID"/>
        </w:rPr>
        <w:t xml:space="preserve">Dalam </w:t>
      </w:r>
      <w:r>
        <w:rPr>
          <w:lang w:val="id_ID" w:bidi="id_ID"/>
        </w:rPr>
        <w:t>1 Korintus 10:1–11</w:t>
      </w:r>
      <w:r>
        <w:rPr>
          <w:lang w:val="id_ID" w:bidi="id_ID"/>
        </w:rPr>
        <w:t>, rasul Paulus memperingatkan pembacanya untuk menghindari penyembahan berhala, amoralitas, dan mengeluh agar mereka tidak binasa seperti bangsa Israel di padang gurun. Allah tidak berkenan dengan perilaku seperti itu, dan pengikut Kristus tidak boleh mencobai Allah (</w:t>
      </w:r>
      <w:r>
        <w:rPr>
          <w:lang w:val="id_ID" w:bidi="id_ID"/>
        </w:rPr>
        <w:t>1Kor. 10:9</w:t>
      </w:r>
      <w:r>
        <w:rPr>
          <w:lang w:val="id_ID" w:bidi="id_ID"/>
        </w:rPr>
        <w:t>).</w:t>
      </w:r>
    </w:p>
    <w:p>
      <w:pPr>
        <w:pStyle w:val="ListBullet"/>
        <w:spacing w:line="240" w:lineRule="auto"/>
        <w:ind w:left="720"/>
      </w:pPr>
      <w:r>
        <w:rPr>
          <w:lang w:val="id_ID" w:bidi="id_ID"/>
        </w:rPr>
      </w:r>
      <w:r>
        <w:rPr>
          <w:lang w:val="id_ID" w:bidi="id_ID"/>
        </w:rPr>
        <w:t>Penulis Kitab Ibrani mengidentifikasi kejadian berulang dari sifat keras hati dan ketidaktaatan Israel, serta menyatakan bahwa Allah menanggapi penyimpangan ini dengan murka yang cepat dan pasti (</w:t>
      </w:r>
      <w:r>
        <w:rPr>
          <w:lang w:val="id_ID" w:bidi="id_ID"/>
        </w:rPr>
        <w:t>Ibr. 3:7–4:11</w:t>
      </w:r>
      <w:r>
        <w:rPr>
          <w:lang w:val="id_ID" w:bidi="id_ID"/>
        </w:rPr>
        <w:t xml:space="preserve">). Ayat-ayat ini, yang banyak menggunakan bahasa dari </w:t>
      </w:r>
      <w:r>
        <w:rPr>
          <w:lang w:val="id_ID" w:bidi="id_ID"/>
        </w:rPr>
        <w:t>Mazmur 95</w:t>
      </w:r>
      <w:r>
        <w:rPr>
          <w:lang w:val="id_ID" w:bidi="id_ID"/>
        </w:rPr>
        <w:t>, dipenuhi dengan istilah yang mencerminkan penghakiman Allah terhadap dosa Israel.</w:t>
      </w:r>
    </w:p>
    <w:p>
      <w:pPr>
        <w:pStyle w:val="ListBullet"/>
        <w:spacing w:line="240" w:lineRule="auto"/>
        <w:ind w:left="720"/>
      </w:pPr>
      <w:r>
        <w:rPr>
          <w:lang w:val="id_ID" w:bidi="id_ID"/>
        </w:rPr>
      </w:r>
      <w:r>
        <w:rPr>
          <w:lang w:val="id_ID" w:bidi="id_ID"/>
        </w:rPr>
        <w:t>Yudas 1:5</w:t>
      </w:r>
      <w:r>
        <w:rPr>
          <w:lang w:val="id_ID" w:bidi="id_ID"/>
        </w:rPr>
        <w:t xml:space="preserve"> mengajarkan orang Kristen tentang kesetiaan dengan merujuk pada Kitab Bilangan.</w:t>
      </w:r>
    </w:p>
    <w:p>
      <w:pPr/>
      <w:r>
        <w:rPr>
          <w:lang w:val="id_ID" w:bidi="id_ID"/>
        </w:rPr>
      </w:r>
      <w:r>
        <w:rPr>
          <w:lang w:val="id_ID" w:bidi="id_ID"/>
        </w:rPr>
        <w:t>Allah yang sama yang membebaskan umat-Nya dari Mesir, menghancurkan generasi pemberontak tersebut karena ketidakpercayaan dan ketidaktaatan mereka. Seperti halnya bangsa Israel kuno, orang Kristen harus belajar dari kesalahan masa lalu dan hidup dalam iman serta ketaatan kepada Tuhan mereka.</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