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1CH</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 Tawarikh</w:t>
      </w:r>
      <w:r>
        <w:rPr>
          <w:lang w:val="id_ID" w:bidi="id_ID"/>
        </w:rPr>
      </w:r>
    </w:p>
    <w:p>
      <w:pPr/>
      <w:r>
        <w:rPr>
          <w:lang w:val="id_ID" w:bidi="id_ID"/>
        </w:rPr>
      </w:r>
      <w:r>
        <w:rPr>
          <w:lang w:val="id_ID" w:bidi="id_ID"/>
        </w:rPr>
        <w:t>Kitab 1–2 Tawarikh ditulis untuk memberikan pengharapan. Pembuangan telah merampas kekayaan orang-orang Israel, dan kepulangan mereka ke negeri mereka menciptakan kebencian di antara tetangga mereka. Keputusasaan dan sikap apatis mengancam untuk menghancurkan mereka sepenuhnya. Tugas penulis Tawarikh adalah membangun dan mengesahkan hubungan bangsa itu dengan masa lalu. Dalam menulis sejarah ini, ia mengorganisir masa lalu dengan cara yang memberikan makna dan nilai untuk masa kini. Dia percaya bahwa komunitasnya, Yudea, sangat penting dalam mewakili Kerajaan Allah. Dia tahu bahwa komunitas tersebut perlu mempertahankan rasa identitas yang khas untuk memenuhi tujuannya.</w:t>
      </w:r>
    </w:p>
    <w:p>
      <w:pPr>
        <w:pStyle w:val="Heading2"/>
      </w:pPr>
      <w:r>
        <w:rPr>
          <w:lang w:val="id_ID" w:bidi="id_ID"/>
        </w:rPr>
        <w:t>Latar Belakang</w:t>
      </w:r>
    </w:p>
    <w:p>
      <w:pPr/>
      <w:r>
        <w:rPr>
          <w:lang w:val="id_ID" w:bidi="id_ID"/>
        </w:rPr>
      </w:r>
      <w:r>
        <w:rPr>
          <w:lang w:val="id_ID" w:bidi="id_ID"/>
        </w:rPr>
        <w:t xml:space="preserve">Bangsa Babilonia menaklukkan kerajaan Yehuda antara tahun 605 dan 586 Sebelum Masehi. Dalam satu generasi, kekuatan Babilonia melemah karena kerusakan internalnya sendiri (lihat </w:t>
      </w:r>
      <w:r>
        <w:rPr>
          <w:lang w:val="id_ID" w:bidi="id_ID"/>
        </w:rPr>
        <w:t>Dan. 5</w:t>
      </w:r>
      <w:r>
        <w:rPr>
          <w:lang w:val="id_ID" w:bidi="id_ID"/>
        </w:rPr>
        <w:t xml:space="preserve">). Sementara itu, di sebelah timur, Raja Persia, Koresh yang Agung (559–530 SM) mendirikan sebuah kekaisaran baru yang menyatukan Media dan Persia. Pada bulan Oktober 539 SM, Babel jatuh tanpa perlawanan, dan kekaisaran Koresh meluas ke barat untuk mencakup Babel (lihat </w:t>
      </w:r>
      <w:r>
        <w:rPr>
          <w:lang w:val="id_ID" w:bidi="id_ID"/>
        </w:rPr>
        <w:t>Dan. 5:30–31</w:t>
      </w:r>
      <w:r>
        <w:rPr>
          <w:lang w:val="id_ID" w:bidi="id_ID"/>
        </w:rPr>
        <w:t>).</w:t>
      </w:r>
    </w:p>
    <w:p>
      <w:pPr/>
      <w:r>
        <w:rPr>
          <w:lang w:val="id_ID" w:bidi="id_ID"/>
        </w:rPr>
      </w:r>
      <w:r>
        <w:rPr>
          <w:lang w:val="id_ID" w:bidi="id_ID"/>
        </w:rPr>
        <w:t>Sesuai dengan kebijakan kekaisarannya, Koresh mengizinkan orang-orang buangan Yahudi untuk kembali ke Yudea dan mendirikan sebuah provinsi di sekitar kota Yerusalem. Kisah tentang periode ini diceritakan dalam kitab Ezra dan Nehemia serta oleh nabi Hagai dan Zakharia. Masyarakat mengalami pemulihan rohani, perlindungan secara jasmani, dan kemandirian ekonomi. Namun, hampir tidak ada harapan untuk memiliki otonomi politik. Komunitas yang terkepung ini memiliki sedikit kemiripan dengan kerajaan sebelumnya. Mereka juga menghadapi cemoohan, perlawanan, dan penghinaan dari orang-orang di sekitarnya ketika mereka membangun kembali Bait Suci dan kemudian tembok Yerusalem. Mereka berjuang untuk mempertahankan identitas, iman, dan cara hidup mereka ketika kekuatan sosial dan politik mengancam untuk menyerap mereka sepenuhnya. Mereka membutuhkan tujuan dan harapan.</w:t>
      </w:r>
    </w:p>
    <w:p>
      <w:pPr/>
      <w:r>
        <w:rPr>
          <w:lang w:val="id_ID" w:bidi="id_ID"/>
        </w:rPr>
      </w:r>
      <w:r>
        <w:rPr>
          <w:lang w:val="id_ID" w:bidi="id_ID"/>
        </w:rPr>
        <w:t>Pada masa itu, orang-orang Yudea dihadapkan pada beberapa pertanyaan mendalam: Bagaimana mereka bisa tetap setia pada iman leluhur mereka sambil hidup di bawah dominasi kekuatan kekaisaran? Bagaimana orang-orang yang tertindas bisa menjadi umat Allah? Apakah arti janji akan takhta Daud yang kekal dalam situasi seperti ini? Beberapa orang Yahudi pada zaman Yunani dan Romawi kemudian (misalnya, para Makabe dan “kaum fanatik” pada zaman Perjanjian Baru) menjawab pertanyaan-pertanyaan ini dengan sebuah nasionalisme yang ingin memberontak dan membangun kemerdekaan. Orang-orang Yahudi lainnya, yang menganggap situasi mereka tidak dapat dihindari, berfokus pada kesetiaan perjanjian kepada Allah dalam konteks kerajaan. Kitab 1 Tawarikh ditulis untuk menjawab pertanyaan-pertanyaan dan keprihatinan-keprihatinan ini.</w:t>
      </w:r>
    </w:p>
    <w:p>
      <w:pPr>
        <w:pStyle w:val="Heading2"/>
      </w:pPr>
      <w:r>
        <w:rPr>
          <w:lang w:val="id_ID" w:bidi="id_ID"/>
        </w:rPr>
        <w:t>Rangkuman</w:t>
      </w:r>
    </w:p>
    <w:p>
      <w:pPr/>
      <w:r>
        <w:rPr>
          <w:lang w:val="id_ID" w:bidi="id_ID"/>
        </w:rPr>
      </w:r>
      <w:r>
        <w:rPr>
          <w:lang w:val="id_ID" w:bidi="id_ID"/>
        </w:rPr>
        <w:t>Kitab 1 Tawarikh terbagi menjadi dua bagian yang berbeda: penggambaran identitas Israel melalui silsilah-silsilah (</w:t>
      </w:r>
      <w:r>
        <w:rPr>
          <w:lang w:val="id_ID" w:bidi="id_ID"/>
        </w:rPr>
        <w:t>1Taw. 1:1–9:44</w:t>
      </w:r>
      <w:r>
        <w:rPr>
          <w:lang w:val="id_ID" w:bidi="id_ID"/>
        </w:rPr>
        <w:t>), dan persiapan Daud untuk membangun Bait Suci dan pemerintahan Salomo. (</w:t>
      </w:r>
      <w:r>
        <w:rPr>
          <w:lang w:val="id_ID" w:bidi="id_ID"/>
        </w:rPr>
        <w:t>1Taw. 10:1–29:30</w:t>
      </w:r>
      <w:r>
        <w:rPr>
          <w:lang w:val="id_ID" w:bidi="id_ID"/>
        </w:rPr>
        <w:t>).</w:t>
      </w:r>
    </w:p>
    <w:p>
      <w:pPr/>
      <w:r>
        <w:rPr>
          <w:lang w:val="id_ID" w:bidi="id_ID"/>
        </w:rPr>
      </w:r>
      <w:r>
        <w:rPr>
          <w:lang w:val="id_ID" w:bidi="id_ID"/>
        </w:rPr>
        <w:t>Pasal pertama dari silsilah (</w:t>
      </w:r>
      <w:r>
        <w:rPr>
          <w:lang w:val="id_ID" w:bidi="id_ID"/>
        </w:rPr>
        <w:t>psl. 1</w:t>
      </w:r>
      <w:r>
        <w:rPr>
          <w:lang w:val="id_ID" w:bidi="id_ID"/>
        </w:rPr>
        <w:t xml:space="preserve">) mengikuti garis pemilihan Allah terhadap orang-orang tertentu dari Adam hingga Yakub (= Israel). </w:t>
      </w:r>
      <w:r>
        <w:rPr>
          <w:lang w:val="id_ID" w:bidi="id_ID"/>
        </w:rPr>
        <w:t>Pasal 2–8</w:t>
      </w:r>
      <w:r>
        <w:rPr>
          <w:lang w:val="id_ID" w:bidi="id_ID"/>
        </w:rPr>
        <w:t xml:space="preserve"> membahas bangsa Israel dari Yakub hingga pembuangan ke Babel. Bagian ini pertama-tama merinci suku Yehuda (</w:t>
      </w:r>
      <w:r>
        <w:rPr>
          <w:lang w:val="id_ID" w:bidi="id_ID"/>
        </w:rPr>
        <w:t>psl. 2–4</w:t>
      </w:r>
      <w:r>
        <w:rPr>
          <w:lang w:val="id_ID" w:bidi="id_ID"/>
        </w:rPr>
        <w:t>), membahas keluarga Daud di bagian tengah (</w:t>
      </w:r>
      <w:r>
        <w:rPr>
          <w:lang w:val="id_ID" w:bidi="id_ID"/>
        </w:rPr>
        <w:t>psl. 3</w:t>
      </w:r>
      <w:r>
        <w:rPr>
          <w:lang w:val="id_ID" w:bidi="id_ID"/>
        </w:rPr>
        <w:t>), dan kemudian menggambarkan suku-suku Israel lainnya (</w:t>
      </w:r>
      <w:r>
        <w:rPr>
          <w:lang w:val="id_ID" w:bidi="id_ID"/>
        </w:rPr>
        <w:t>psl. 5–7</w:t>
      </w:r>
      <w:r>
        <w:rPr>
          <w:lang w:val="id_ID" w:bidi="id_ID"/>
        </w:rPr>
        <w:t>), termasuk yang di sebelah timur Sungai Yordan (di Transyordania). Di tengah-tengah daftar silsilah tambahan ini muncul Lewi (</w:t>
      </w:r>
      <w:r>
        <w:rPr>
          <w:lang w:val="id_ID" w:bidi="id_ID"/>
        </w:rPr>
        <w:t>psl. 6</w:t>
      </w:r>
      <w:r>
        <w:rPr>
          <w:lang w:val="id_ID" w:bidi="id_ID"/>
        </w:rPr>
        <w:t>), sebuah suku yang sangat penting. Catatan ini kemudian berlanjut dengan suku Benyamin (</w:t>
      </w:r>
      <w:r>
        <w:rPr>
          <w:lang w:val="id_ID" w:bidi="id_ID"/>
        </w:rPr>
        <w:t>psl. 8</w:t>
      </w:r>
      <w:r>
        <w:rPr>
          <w:lang w:val="id_ID" w:bidi="id_ID"/>
        </w:rPr>
        <w:t>). Silsilah ini diselesaikan hingga sekitar tahun 400 SM, dengan daftar para pemimpin komunitas yang kembali dari pembuangan dan mulai memulihkan Yerusalem (</w:t>
      </w:r>
      <w:r>
        <w:rPr>
          <w:lang w:val="id_ID" w:bidi="id_ID"/>
        </w:rPr>
        <w:t>psl. 9</w:t>
      </w:r>
      <w:r>
        <w:rPr>
          <w:lang w:val="id_ID" w:bidi="id_ID"/>
        </w:rPr>
        <w:t>).</w:t>
      </w:r>
    </w:p>
    <w:p>
      <w:pPr/>
      <w:r>
        <w:rPr>
          <w:lang w:val="id_ID" w:bidi="id_ID"/>
        </w:rPr>
      </w:r>
      <w:r>
        <w:rPr>
          <w:lang w:val="id_ID" w:bidi="id_ID"/>
        </w:rPr>
        <w:t>Silsilah Saul (</w:t>
      </w:r>
      <w:r>
        <w:rPr>
          <w:lang w:val="id_ID" w:bidi="id_ID"/>
        </w:rPr>
        <w:t>1Taw. 9:35–44</w:t>
      </w:r>
      <w:r>
        <w:rPr>
          <w:lang w:val="id_ID" w:bidi="id_ID"/>
        </w:rPr>
        <w:t>) memperkenalkan pembentukan monarki. Ketika Saul meninggal karena ketidaksetiaannya (</w:t>
      </w:r>
      <w:r>
        <w:rPr>
          <w:lang w:val="id_ID" w:bidi="id_ID"/>
        </w:rPr>
        <w:t>1Taw. 10:1–14</w:t>
      </w:r>
      <w:r>
        <w:rPr>
          <w:lang w:val="id_ID" w:bidi="id_ID"/>
        </w:rPr>
        <w:t>), Daud diangkat menjadi raja (</w:t>
      </w:r>
      <w:r>
        <w:rPr>
          <w:lang w:val="id_ID" w:bidi="id_ID"/>
        </w:rPr>
        <w:t>1Taw. 11:1–12:40</w:t>
      </w:r>
      <w:r>
        <w:rPr>
          <w:lang w:val="id_ID" w:bidi="id_ID"/>
        </w:rPr>
        <w:t>). Pasal-pasal tentang pemerintahan Daud menjelaskan pengaturannya terhadap para pejabat istana dan persiapannya untuk Bait Suci (</w:t>
      </w:r>
      <w:r>
        <w:rPr>
          <w:lang w:val="id_ID" w:bidi="id_ID"/>
        </w:rPr>
        <w:t>pasal 13–27</w:t>
      </w:r>
      <w:r>
        <w:rPr>
          <w:lang w:val="id_ID" w:bidi="id_ID"/>
        </w:rPr>
        <w:t>). Pemindahan Tabut Perjanjian ke Yerusalem (</w:t>
      </w:r>
      <w:r>
        <w:rPr>
          <w:lang w:val="id_ID" w:bidi="id_ID"/>
        </w:rPr>
        <w:t>pasal 13–16</w:t>
      </w:r>
      <w:r>
        <w:rPr>
          <w:lang w:val="id_ID" w:bidi="id_ID"/>
        </w:rPr>
        <w:t>) menjadi peristiwa penting dalam pendirian kerajaan Daud. Sisa dari 1 Tawarikh menelusuri langkah-langkah yang diambil menuju pembangunan Bait Suci. Pasal-pasal ini mencakup identitas pembangun (</w:t>
      </w:r>
      <w:r>
        <w:rPr>
          <w:lang w:val="id_ID" w:bidi="id_ID"/>
        </w:rPr>
        <w:t>pasal 17</w:t>
      </w:r>
      <w:r>
        <w:rPr>
          <w:lang w:val="id_ID" w:bidi="id_ID"/>
        </w:rPr>
        <w:t>), kondisi politik yang diperlukan (</w:t>
      </w:r>
      <w:r>
        <w:rPr>
          <w:lang w:val="id_ID" w:bidi="id_ID"/>
        </w:rPr>
        <w:t>pasal 18–20</w:t>
      </w:r>
      <w:r>
        <w:rPr>
          <w:lang w:val="id_ID" w:bidi="id_ID"/>
        </w:rPr>
        <w:t>), lokasi (</w:t>
      </w:r>
      <w:r>
        <w:rPr>
          <w:lang w:val="id_ID" w:bidi="id_ID"/>
        </w:rPr>
        <w:t>pasal 21</w:t>
      </w:r>
      <w:r>
        <w:rPr>
          <w:lang w:val="id_ID" w:bidi="id_ID"/>
        </w:rPr>
        <w:t>), personel (</w:t>
      </w:r>
      <w:r>
        <w:rPr>
          <w:lang w:val="id_ID" w:bidi="id_ID"/>
        </w:rPr>
        <w:t>pasal 23–27</w:t>
      </w:r>
      <w:r>
        <w:rPr>
          <w:lang w:val="id_ID" w:bidi="id_ID"/>
        </w:rPr>
        <w:t xml:space="preserve">), bahan-bahan, dan rencana (pasal </w:t>
      </w:r>
      <w:r>
        <w:rPr>
          <w:lang w:val="id_ID" w:bidi="id_ID"/>
        </w:rPr>
        <w:t>22</w:t>
      </w:r>
      <w:r>
        <w:rPr>
          <w:lang w:val="id_ID" w:bidi="id_ID"/>
        </w:rPr>
        <w:t xml:space="preserve">, </w:t>
      </w:r>
      <w:r>
        <w:rPr>
          <w:lang w:val="id_ID" w:bidi="id_ID"/>
        </w:rPr>
        <w:t>28–29</w:t>
      </w:r>
      <w:r>
        <w:rPr>
          <w:lang w:val="id_ID" w:bidi="id_ID"/>
        </w:rPr>
        <w:t>). Catatan tentang pemerintahan Daud ditutup dengan pertemuan umum yang besar dan penunjukan Salomo sebagai raja damai yang akan membangun Bait Suci (</w:t>
      </w:r>
      <w:r>
        <w:rPr>
          <w:lang w:val="id_ID" w:bidi="id_ID"/>
        </w:rPr>
        <w:t>pasal 28–29</w:t>
      </w:r>
      <w:r>
        <w:rPr>
          <w:lang w:val="id_ID" w:bidi="id_ID"/>
        </w:rPr>
        <w:t>).</w:t>
      </w:r>
    </w:p>
    <w:p>
      <w:pPr>
        <w:pStyle w:val="Heading2"/>
      </w:pPr>
      <w:r>
        <w:rPr>
          <w:lang w:val="id_ID" w:bidi="id_ID"/>
        </w:rPr>
        <w:t>Penulisan dan Tanggal</w:t>
      </w:r>
    </w:p>
    <w:p>
      <w:pPr/>
      <w:r>
        <w:rPr>
          <w:lang w:val="id_ID" w:bidi="id_ID"/>
        </w:rPr>
      </w:r>
      <w:r>
        <w:rPr>
          <w:lang w:val="id_ID" w:bidi="id_ID"/>
        </w:rPr>
        <w:t>Kitab Tawarikh secara tradisional dianggap ditulis oleh Ezra, namun penulisnya tidak memberikan petunjuk tentang identitasnya selain dari isi tulisannya. Penulis Tawarikh tinggal di atau dekat Yerusalem dan merupakan pendukung setia Bait Suci serta pelayanannya. Penekanan yang dia berikan kepada orang Lewi dalam tulisannya mungkin menunjukkan bahwa dia termasuk di antara mereka. Hal ini dapat menjelaskan aksesnya ke materi yang dia gunakan untuk menyusun sejarahnya.</w:t>
      </w:r>
    </w:p>
    <w:p>
      <w:pPr/>
      <w:r>
        <w:rPr>
          <w:lang w:val="id_ID" w:bidi="id_ID"/>
        </w:rPr>
      </w:r>
      <w:r>
        <w:rPr>
          <w:lang w:val="id_ID" w:bidi="id_ID"/>
        </w:rPr>
        <w:t>Penulis Kitab Tawarikh menulis pada tahun-tahun akhir Kekaisaran Persia, kemungkinan sekitar tahun 400 Sebelum Masehi. Silsilah keturunan Yoyakhin (</w:t>
      </w:r>
      <w:r>
        <w:rPr>
          <w:lang w:val="id_ID" w:bidi="id_ID"/>
        </w:rPr>
        <w:t>1Taw. 3:17–24</w:t>
      </w:r>
      <w:r>
        <w:rPr>
          <w:lang w:val="id_ID" w:bidi="id_ID"/>
        </w:rPr>
        <w:t>) menunjukkan delapan generasi setelah Zerubabel, yang menjabat sebagai Wali Negeri sekitar tahun 520 Sebelum Masehi, pada masa pemerintahan Darius, raja Persia (</w:t>
      </w:r>
      <w:r>
        <w:rPr>
          <w:lang w:val="id_ID" w:bidi="id_ID"/>
        </w:rPr>
        <w:t>Za. 1:1</w:t>
      </w:r>
      <w:r>
        <w:rPr>
          <w:lang w:val="id_ID" w:bidi="id_ID"/>
        </w:rPr>
        <w:t xml:space="preserve">; </w:t>
      </w:r>
      <w:r>
        <w:rPr>
          <w:lang w:val="id_ID" w:bidi="id_ID"/>
        </w:rPr>
        <w:t>4:9</w:t>
      </w:r>
      <w:r>
        <w:rPr>
          <w:lang w:val="id_ID" w:bidi="id_ID"/>
        </w:rPr>
        <w:t>). Penulis Kitab Tawarikh mungkin menulis beberapa waktu setelah Nehemia melakukan perjalanan ke Yerusalem pada tahun kedua puluh pemerintahan Artahsasta (445 Sebelum Masehi) untuk memperbaiki tembok kota (</w:t>
      </w:r>
      <w:r>
        <w:rPr>
          <w:lang w:val="id_ID" w:bidi="id_ID"/>
        </w:rPr>
        <w:t>Neh. 2:1</w:t>
      </w:r>
      <w:r>
        <w:rPr>
          <w:lang w:val="id_ID" w:bidi="id_ID"/>
        </w:rPr>
        <w:t>). Kitab Tawarikh tidak ditulis pada periode Yunani, yang dimulai dengan Aleksander yang Agung (332 Sebelum Masehi), karena tulisan tersebut tidak menunjukkan bukti linguistik atau ideologis dari pengaruh Yunani. Pertimbangan-pertimbangan ini menunjukkan tanggal sekitar tahun 400 Sebelum Masehi.</w:t>
      </w:r>
    </w:p>
    <w:p>
      <w:pPr>
        <w:pStyle w:val="Heading2"/>
      </w:pPr>
      <w:r>
        <w:rPr>
          <w:lang w:val="id_ID" w:bidi="id_ID"/>
        </w:rPr>
        <w:t>Situasi Sejarah</w:t>
      </w:r>
    </w:p>
    <w:p>
      <w:pPr/>
      <w:r>
        <w:rPr>
          <w:lang w:val="id_ID" w:bidi="id_ID"/>
        </w:rPr>
      </w:r>
      <w:r>
        <w:rPr>
          <w:lang w:val="id_ID" w:bidi="id_ID"/>
        </w:rPr>
        <w:t xml:space="preserve">Sedikit yang diketahui tentang situasi di Yudea setelah Nehemia, meskipun Nehemia mengungkapkan beberapa kesulitan yang dihadapi komunitas tersebut. Godaan untuk menikah dengan orang yang bukan Israel sangat besar, dan pernikahan campuran masih terjadi pada zaman Maleakhi (400-an Sebelum Masehi; lihat </w:t>
      </w:r>
      <w:r>
        <w:rPr>
          <w:lang w:val="id_ID" w:bidi="id_ID"/>
        </w:rPr>
        <w:t>Mal. 2:14–16</w:t>
      </w:r>
      <w:r>
        <w:rPr>
          <w:lang w:val="id_ID" w:bidi="id_ID"/>
        </w:rPr>
        <w:t>). Pernikahan dengan orang asing memberikan akses ke tanah dan kekayaan yang tidak tersedia di dalam komunitas. Namun, praktik ini bertentangan dengan Hukum Taurat yang dibawa Ezra dari Babel. Kemandirian dan eksklusivitas yang dianjurkan oleh Ezra dan Nehemia menimbulkan kebencian dan permusuhan yang berkelanjutan dari orang-orang sekitar, terutama ketika orang Yahudi berusaha membangun kembali Bait Suci sebagai pusat sosial dan ekonomi komunitas.</w:t>
      </w:r>
    </w:p>
    <w:p>
      <w:pPr>
        <w:pStyle w:val="Heading2"/>
      </w:pPr>
      <w:r>
        <w:rPr>
          <w:lang w:val="id_ID" w:bidi="id_ID"/>
        </w:rPr>
        <w:t>Genre dan Komposisi</w:t>
      </w:r>
    </w:p>
    <w:p>
      <w:pPr/>
      <w:r>
        <w:rPr>
          <w:lang w:val="id_ID" w:bidi="id_ID"/>
        </w:rPr>
      </w:r>
      <w:r>
        <w:rPr>
          <w:lang w:val="id_ID" w:bidi="id_ID"/>
        </w:rPr>
        <w:t>Judul Kitab Tawarikh juga mendefinisikan genre dari karya tersebut. Dalam bahasa Ibrani, istilah ini merujuk pada “peristiwa-peristiwa harian.” Dalam prolog terjemahan Latin dari Kitab Samuel dan Kitab Raja-Raja, Jerome menyebut Kitab Tawarikh sebagai chronikon, atau “annals,” yaitu daftar peristiwa, catatan kitab dari zaman kuno. Dengan kata lain, kitab ini ditulis sebagai sebuah sejarah. Sementara itu, terjemahan Yunani dari Perjanjian Lama (Septuaginta) menyebut sejarah ini sebagai “hal-hal yang tersisa.” Judul ini menganggap Kitab Tawarikh sebagai pelengkap sekunder untuk Kitab Raja-Raja, pandangan yang kemungkinan besar akan mengejutkan penulisnya. Karya ini adalah ciptaan unik dari banyak sumber yang berbeda.</w:t>
      </w:r>
    </w:p>
    <w:p>
      <w:pPr/>
      <w:r>
        <w:rPr>
          <w:lang w:val="id_ID" w:bidi="id_ID"/>
        </w:rPr>
      </w:r>
      <w:r>
        <w:rPr>
          <w:lang w:val="id_ID" w:bidi="id_ID"/>
        </w:rPr>
        <w:t xml:space="preserve">Dalam menulis sejarah ini, penulis Tawarikh mengorganisir masa lalu Israel dengan cara yang memberikan makna dan nilai bagi para pembacanya. Ia memasukkan silsilah-silsilah karena silsilah-silsilah tersebut menjawab dua pertanyaan penting dalam sejarah: </w:t>
      </w:r>
      <w:r>
        <w:rPr>
          <w:i/>
          <w:lang w:val="id_ID" w:bidi="id_ID"/>
        </w:rPr>
        <w:t>Kisah siapakah yang perlu diceritakan?</w:t>
      </w:r>
      <w:r>
        <w:rPr>
          <w:lang w:val="id_ID" w:bidi="id_ID"/>
        </w:rPr>
        <w:t xml:space="preserve"> dan </w:t>
      </w:r>
      <w:r>
        <w:rPr>
          <w:i/>
          <w:lang w:val="id_ID" w:bidi="id_ID"/>
        </w:rPr>
        <w:t>Di manakah orang-orang ini tinggal?</w:t>
      </w:r>
      <w:r>
        <w:rPr>
          <w:lang w:val="id_ID" w:bidi="id_ID"/>
        </w:rPr>
        <w:t xml:space="preserve"> Karya penulis kitab Tawarikh menjelaskan mengapa suatu bangsa yang tidak memiliki pengaruh atau pengakuan menganggap keberadaan dan cara hidup mereka memiliki arti penting bagi masa depan.</w:t>
      </w:r>
    </w:p>
    <w:p>
      <w:pPr/>
      <w:r>
        <w:rPr>
          <w:lang w:val="id_ID" w:bidi="id_ID"/>
        </w:rPr>
      </w:r>
      <w:r>
        <w:rPr>
          <w:lang w:val="id_ID" w:bidi="id_ID"/>
        </w:rPr>
        <w:t>Kitab 1 Tawarikh mencakup periode waktu yang sama dengan Kitab 2 Samuel. Oleh karena itu, terdapat banyak bagian paralel dengan kata-kata yang mirip. Namun, para penulis memiliki tujuan yang berbeda dalam penulisan, dan perbedaan ini dapat disoroti dengan membandingkan berbagai bagian paralel tersebut.</w:t>
      </w:r>
    </w:p>
    <w:p>
      <w:pPr>
        <w:pStyle w:val="Heading2"/>
      </w:pPr>
      <w:r>
        <w:rPr>
          <w:lang w:val="id_ID" w:bidi="id_ID"/>
        </w:rPr>
        <w:t>Makna dan Pesan</w:t>
      </w:r>
    </w:p>
    <w:p>
      <w:pPr/>
      <w:r>
        <w:rPr>
          <w:lang w:val="id_ID" w:bidi="id_ID"/>
        </w:rPr>
      </w:r>
      <w:r>
        <w:rPr>
          <w:lang w:val="id_ID" w:bidi="id_ID"/>
        </w:rPr>
        <w:t>Janji Allah kepada Daud (</w:t>
      </w:r>
      <w:r>
        <w:rPr>
          <w:lang w:val="id_ID" w:bidi="id_ID"/>
        </w:rPr>
        <w:t>1Taw. 17:1–27</w:t>
      </w:r>
      <w:r>
        <w:rPr>
          <w:lang w:val="id_ID" w:bidi="id_ID"/>
        </w:rPr>
        <w:t>) menempati pusat pesan dari Penulis Kitab Tawarikh. Ketika Daud bertekad untuk membangun sebuah rumah bagi Tabut Perjanjian Allah, Nabi Natan menerima penglihatan yang memberitahunya bahwa Daud keliru: Daud tidak akan membangun rumah untuk Allah, tetapi Allah yang akan membangun rumah untuk Daud. Rumah ini akan menjadi sebuah dinasti (</w:t>
      </w:r>
      <w:r>
        <w:rPr>
          <w:lang w:val="id_ID" w:bidi="id_ID"/>
        </w:rPr>
        <w:t>2Sam. 7:11–14</w:t>
      </w:r>
      <w:r>
        <w:rPr>
          <w:i/>
          <w:lang w:val="id_ID" w:bidi="id_ID"/>
        </w:rPr>
        <w:t>//</w:t>
      </w:r>
      <w:r>
        <w:rPr>
          <w:lang w:val="id_ID" w:bidi="id_ID"/>
        </w:rPr>
        <w:t>1Taw. 17:10–14</w:t>
      </w:r>
      <w:r>
        <w:rPr>
          <w:lang w:val="id_ID" w:bidi="id_ID"/>
        </w:rPr>
        <w:t>), dan Kerajaan Allah yang kekal akan terwujud melalui garis keturunan Daud. Kitab Mazmur Pasal 2 menekankan pentingnya janji ini: Allah mengolok-olok bangsa-bangsa karena mereka menolak kerajaan-Nya dan berpikir bahwa mereka bisa mendirikan pemerintahan mereka sendiri. Mereka mengabaikan fakta bahwa Allah telah mengurapi raja yang dari-Nya di Bukit Sion, seorang raja yang akan menghancurkan bangsa-bangsa dan menerima Bumi sebagai warisan-Nya. Penulis Kitab Tawarikh sangat serius dengan janji ini. Kerajaan Allah akan datang melalui anak yang dijanjikan dari Daud. Komunitas di sekitar Yerusalem mewakili Kerajaan yang dijanjikan itu, harapan masa depan.</w:t>
      </w:r>
    </w:p>
    <w:p>
      <w:pPr/>
      <w:r>
        <w:rPr>
          <w:lang w:val="id_ID" w:bidi="id_ID"/>
        </w:rPr>
      </w:r>
      <w:r>
        <w:rPr>
          <w:lang w:val="id_ID" w:bidi="id_ID"/>
        </w:rPr>
        <w:t>Penulis Kitab Tawarikh memiliki tugas ganda. Pertama, dia perlu menjelaskan mengapa kerajaan Daud mengalami kegagalan. Kedua, dia harus menetapkan bahwa provinsi kecil ini yang sedang berjuang dari Kekaisaran Persia yang kuat akan menjadi kerajaan yang dijanjikan Allah kepada Daud. Penjelasan untuk kegagalan kerajaan Daud dimulai dengan kegagalan Saul: Allah menolak Saul sebagai raja atas Israel karena ketidaksetiaannya. Saul tidak menaati Allah dan melanggar perjanjian hingga berkonsultasi dengan seorang peramal (</w:t>
      </w:r>
      <w:r>
        <w:rPr>
          <w:lang w:val="id_ID" w:bidi="id_ID"/>
        </w:rPr>
        <w:t>1Taw. 10:13</w:t>
      </w:r>
      <w:r>
        <w:rPr>
          <w:lang w:val="id_ID" w:bidi="id_ID"/>
        </w:rPr>
        <w:t xml:space="preserve">). Raja-raja berikutnya mengulangi inti kegagalan Saul: Mereka memberontak melawan Perjanjian Allah dan mencari keamanan dari kekuatan asing dan dewa-dewa pagan daripada dari Batu Karang mereka, Tuhan (lihat </w:t>
      </w:r>
      <w:r>
        <w:rPr>
          <w:lang w:val="id_ID" w:bidi="id_ID"/>
        </w:rPr>
        <w:t>Ul. 32:4</w:t>
      </w:r>
      <w:r>
        <w:rPr>
          <w:lang w:val="id_ID" w:bidi="id_ID"/>
        </w:rPr>
        <w:t xml:space="preserve">, </w:t>
      </w:r>
      <w:r>
        <w:rPr>
          <w:lang w:val="id_ID" w:bidi="id_ID"/>
        </w:rPr>
        <w:t>15–39</w:t>
      </w:r>
      <w:r>
        <w:rPr>
          <w:lang w:val="id_ID" w:bidi="id_ID"/>
        </w:rPr>
        <w:t xml:space="preserve">). Oleh karena itu, </w:t>
      </w:r>
      <w:r>
        <w:rPr>
          <w:i/>
          <w:lang w:val="id_ID" w:bidi="id_ID"/>
        </w:rPr>
        <w:t>ketidaksetiaan</w:t>
      </w:r>
      <w:r>
        <w:rPr>
          <w:lang w:val="id_ID" w:bidi="id_ID"/>
        </w:rPr>
        <w:t xml:space="preserve"> adalah kata kunci dalam Kitab Tawarikh; penulis Kitab Tawarikh menggunakannya berulang kali untuk mendokumentasikan alasan penghakiman terhadap raja-raja Yehuda.</w:t>
      </w:r>
    </w:p>
    <w:p>
      <w:pPr/>
      <w:r>
        <w:rPr>
          <w:lang w:val="id_ID" w:bidi="id_ID"/>
        </w:rPr>
      </w:r>
      <w:r>
        <w:rPr>
          <w:lang w:val="id_ID" w:bidi="id_ID"/>
        </w:rPr>
        <w:t>Di sisi lain, dasar pengharapan berasal dari doa Salomo pada saat peresmian Bait Suci: "dan umat-Ku, yang atasnya nama-Ku disebut, merendahkan diri, berdoa dan mencari wajah-Ku, lalu berbalik dari jalan-jalannya yang jahat, maka Aku akan mendengar dari sorga dan mengampuni dosa mereka, serta memulihkan negeri mereka." (</w:t>
      </w:r>
      <w:r>
        <w:rPr>
          <w:lang w:val="id_ID" w:bidi="id_ID"/>
        </w:rPr>
        <w:t>2Taw. 7:14</w:t>
      </w:r>
      <w:r>
        <w:rPr>
          <w:lang w:val="id_ID" w:bidi="id_ID"/>
        </w:rPr>
        <w:t>). Janji ini mengingatkan umat tentang syarat-syarat yang diperlukan untuk pemulihan: kerendahan hati, doa, pertobatan, dan penyembuhan.</w:t>
      </w:r>
    </w:p>
    <w:p>
      <w:pPr/>
      <w:r>
        <w:rPr>
          <w:lang w:val="id_ID" w:bidi="id_ID"/>
        </w:rPr>
      </w:r>
      <w:r>
        <w:rPr>
          <w:lang w:val="id_ID" w:bidi="id_ID"/>
        </w:rPr>
        <w:t xml:space="preserve">Kitab 1 Tawarikh menetapkan syarat-syarat yang diperlukan untuk pemulihan. Janji kepada Daud tidak hilang selama masa Pembuangan; komunitas yang dibangun kembali di Yerusalem membawa janji tersebut. Bahkan pembagian kerajaan setelah pemerintahan Salomo tidak menempatkan suku-suku di luar masa depan Israel. Bagi Penulis Kitab Tawarikh, semua suku hadir dalam pemulihan, termasuk suku-suku dari kerajaan utara (lihat </w:t>
      </w:r>
      <w:r>
        <w:rPr>
          <w:lang w:val="id_ID" w:bidi="id_ID"/>
        </w:rPr>
        <w:t>1Taw. 9:3</w:t>
      </w:r>
      <w:r>
        <w:rPr>
          <w:lang w:val="id_ID" w:bidi="id_ID"/>
        </w:rPr>
        <w:t>). Penulis Kitab Tawarikh memahami Israel sebagai komunitas beriman, bukan sebagai entitas politik. Israel bukanlah negara berdaulat pada zamannya, melainkan provinsi etnis kecil dalam kekaisaran besar Persia. Namun, ia ingin menunjukkan bahwa persatuan yang dibangun oleh Daud dan Salomo telah bertahan dan bahwa janji yang diberikan kepada Daud memberi mereka pengharapan untuk masa depan.</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