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Habakuk</w:t>
      </w:r>
      <w:r>
        <w:rPr>
          <w:lang w:val="id_ID" w:bidi="id_ID"/>
        </w:rPr>
      </w:r>
    </w:p>
    <w:p>
      <w:pPr/>
      <w:r>
        <w:rPr>
          <w:lang w:val="id_ID" w:bidi="id_ID"/>
        </w:rPr>
      </w:r>
      <w:r>
        <w:rPr>
          <w:lang w:val="id_ID" w:bidi="id_ID"/>
        </w:rPr>
        <w:t>"Mengapa Engkau membiarkan ketidakadilan?" Habakuk bertanya kepada Allah. "Mengapa Engkau memberikan toleransi terhadap kejahatan?" Allah tidak menjawab pertanyaan Habakuk secara langsung. Sebaliknya, seperti yang dilakukan-Nya dengan Ayub, Allah memberikan Habakuk sebuah penglihatan tentang keilahian-Nya. Apakah nabi tersebut memahami cara Allah atau tidak, dia dapat dengan aman mempercayai-Nya. Pertanyaan Habakuk bergema di hati semua orang yang takut kepada Allah. Kitab Habakuk tidak menawarkan jawaban yang mudah bagi masalah kejahatan di dunia. Sebaliknya, kitab ini memberikan alasan yang kuat untuk beriman kepada Allah yang berdaulat, kudus, dan adil, yang pada akhirnya akan membawa keadilan ke dunia milik-Nya.</w:t>
      </w:r>
    </w:p>
    <w:p>
      <w:pPr>
        <w:pStyle w:val="Heading2"/>
      </w:pPr>
      <w:r>
        <w:rPr>
          <w:lang w:val="id_ID" w:bidi="id_ID"/>
        </w:rPr>
        <w:t>Latar Belakang</w:t>
      </w:r>
    </w:p>
    <w:p>
      <w:pPr/>
      <w:r>
        <w:rPr>
          <w:lang w:val="id_ID" w:bidi="id_ID"/>
        </w:rPr>
      </w:r>
      <w:r>
        <w:rPr>
          <w:lang w:val="id_ID" w:bidi="id_ID"/>
        </w:rPr>
        <w:t>Habakuk hidup pada masa ketika Yehuda telah lama berada di bawah kekuasaan Asyur. Kekaisaran Asyur telah menguasai sebagian besar wilayah Timur Dekat kuno, dari Mesopotamia hingga ibu kota Mesir, Thebes. Namun, pada zaman Habakuk (akhir 600-an SM), Asyur menunjukkan tanda-tanda kelemahan yang pada akhirnya akan menyebabkan kehancurannya. Setelah menyelesaikan operasi militer pada pertengahan 640-an SM, raja Asyur, Ashurbanipal, menjadi sibuk dengan kegiatan-kegiatan sastra dan seni. Ketidakperhatiannya yang semakin meningkat terhadap tata kelola kerajaannya menyebabkan kelemahan di luar negeri dan pemberontakan di dalam negeri.</w:t>
      </w:r>
    </w:p>
    <w:p>
      <w:pPr/>
      <w:r>
        <w:rPr>
          <w:lang w:val="id_ID" w:bidi="id_ID"/>
        </w:rPr>
      </w:r>
      <w:r>
        <w:rPr>
          <w:lang w:val="id_ID" w:bidi="id_ID"/>
        </w:rPr>
        <w:t>Setelah kematian Ashurbanipal, Asyur menghadapi ancaman baru. Di Babel, Raja Nabopolassar (626–605 SM) memproklamirkan kemerdekaannya dari Asyur dan meletakkan dasar bagi Kekaisaran Neo-Babilonia yang akan bertahan hampir satu abad (626–539 SM). Nabopolassar menaklukkan kota-kota utama Asyur satu per satu. Ibu kota Niniwe jatuh pada 612 SM, dan pasukan Asyur yang tersisa kemudian dikalahkan di Haran (609 SM) dan Karkhemish (605 SM).</w:t>
      </w:r>
    </w:p>
    <w:p>
      <w:pPr/>
      <w:r>
        <w:rPr>
          <w:lang w:val="id_ID" w:bidi="id_ID"/>
        </w:rPr>
      </w:r>
      <w:r>
        <w:rPr>
          <w:lang w:val="id_ID" w:bidi="id_ID"/>
        </w:rPr>
        <w:t>Ketika putra Nabopolassar, Nebukadnezar II (605–562 SM) menggantikannya, kerajaannya meluas ke sebagian besar wilayah Timur Dekat kuno. Nebukadnezar melancarkan serangkaian kampanye melawan kerajaan Yehuda, berhasil menyerang Yerusalem pada tiga kali kesempatan, dan membawa banyak orangnya ke dalam perbudakan. Serangan terakhir ini (586 SM) mengakibatkan jatuhnya kerajaan Yehuda secara total.</w:t>
      </w:r>
    </w:p>
    <w:p>
      <w:pPr/>
      <w:r>
        <w:rPr>
          <w:lang w:val="id_ID" w:bidi="id_ID"/>
        </w:rPr>
      </w:r>
      <w:r>
        <w:rPr>
          <w:lang w:val="id_ID" w:bidi="id_ID"/>
        </w:rPr>
        <w:t xml:space="preserve">Selain dari tahun-tahun terakhir pemerintahan raja yang saleh, Yosia (640–609 SM), kekerasan dan ketidakadilan menjadi ciri masyarakat Yudea sejak pemerintahan raja yang fasik Manasye (697–642 SM) hingga jatuhnya Yerusalem (586 SM). Dalam banyak hal, Manasye sangat berbeda dengan ayahnya yang saleh, Hizkia (lihat </w:t>
      </w:r>
      <w:r>
        <w:rPr>
          <w:lang w:val="id_ID" w:bidi="id_ID"/>
        </w:rPr>
        <w:t>2Raj. 21:1–9</w:t>
      </w:r>
      <w:r>
        <w:rPr>
          <w:lang w:val="id_ID" w:bidi="id_ID"/>
        </w:rPr>
        <w:t xml:space="preserve">; </w:t>
      </w:r>
      <w:r>
        <w:rPr>
          <w:lang w:val="id_ID" w:bidi="id_ID"/>
        </w:rPr>
        <w:t>2Taw. 33:2–9</w:t>
      </w:r>
      <w:r>
        <w:rPr>
          <w:lang w:val="id_ID" w:bidi="id_ID"/>
        </w:rPr>
        <w:t>). Manasye secara aktif mempromosikan ritual penyembahan berhala yang dipraktekkan oleh para penduduk pra-Israel di Kanaan. Kemurtadan ini menghancurkan Yehuda. Pertobatan Manasye yang terjadi kemudian dan upaya untuk membatalkan kejahatan sebelumnya (</w:t>
      </w:r>
      <w:r>
        <w:rPr>
          <w:lang w:val="id_ID" w:bidi="id_ID"/>
        </w:rPr>
        <w:t>2Taw. 33:15–19</w:t>
      </w:r>
      <w:r>
        <w:rPr>
          <w:lang w:val="id_ID" w:bidi="id_ID"/>
        </w:rPr>
        <w:t>) tidak menghasilkan perubahan yang bertahan lama, dan putranya, Amon, memperkenalkan kembali praktek penyembahan berhala (</w:t>
      </w:r>
      <w:r>
        <w:rPr>
          <w:lang w:val="id_ID" w:bidi="id_ID"/>
        </w:rPr>
        <w:t>2Raj. 21:21–22</w:t>
      </w:r>
      <w:r>
        <w:rPr>
          <w:lang w:val="id_ID" w:bidi="id_ID"/>
        </w:rPr>
        <w:t>). Pelayanan para nabi seperti Zefanya, Yeremia, dan Yehezkiel, serta upaya reformasi oleh Yosia (</w:t>
      </w:r>
      <w:r>
        <w:rPr>
          <w:lang w:val="id_ID" w:bidi="id_ID"/>
        </w:rPr>
        <w:t>2Taw. 34:1–35:19</w:t>
      </w:r>
      <w:r>
        <w:rPr>
          <w:lang w:val="id_ID" w:bidi="id_ID"/>
        </w:rPr>
        <w:t>) juga tidak membawa perubahan yang dapat bertahan lama. Raja-raja Yehuda yang kemudian semuanya dihukum karena kejahatan mereka (</w:t>
      </w:r>
      <w:r>
        <w:rPr>
          <w:lang w:val="id_ID" w:bidi="id_ID"/>
        </w:rPr>
        <w:t>2Raj. 23:32</w:t>
      </w:r>
      <w:r>
        <w:rPr>
          <w:lang w:val="id_ID" w:bidi="id_ID"/>
        </w:rPr>
        <w:t xml:space="preserve">, </w:t>
      </w:r>
      <w:r>
        <w:rPr>
          <w:lang w:val="id_ID" w:bidi="id_ID"/>
        </w:rPr>
        <w:t>37</w:t>
      </w:r>
      <w:r>
        <w:rPr>
          <w:lang w:val="id_ID" w:bidi="id_ID"/>
        </w:rPr>
        <w:t xml:space="preserve">; </w:t>
      </w:r>
      <w:r>
        <w:rPr>
          <w:lang w:val="id_ID" w:bidi="id_ID"/>
        </w:rPr>
        <w:t>24:19</w:t>
      </w:r>
      <w:r>
        <w:rPr>
          <w:lang w:val="id_ID" w:bidi="id_ID"/>
        </w:rPr>
        <w:t xml:space="preserve">; </w:t>
      </w:r>
      <w:r>
        <w:rPr>
          <w:lang w:val="id_ID" w:bidi="id_ID"/>
        </w:rPr>
        <w:t>Yer. 22</w:t>
      </w:r>
      <w:r>
        <w:rPr>
          <w:lang w:val="id_ID" w:bidi="id_ID"/>
        </w:rPr>
        <w:t xml:space="preserve">; </w:t>
      </w:r>
      <w:r>
        <w:rPr>
          <w:lang w:val="id_ID" w:bidi="id_ID"/>
        </w:rPr>
        <w:t>27:1–22</w:t>
      </w:r>
      <w:r>
        <w:rPr>
          <w:lang w:val="id_ID" w:bidi="id_ID"/>
        </w:rPr>
        <w:t xml:space="preserve">; </w:t>
      </w:r>
      <w:r>
        <w:rPr>
          <w:lang w:val="id_ID" w:bidi="id_ID"/>
        </w:rPr>
        <w:t>36:30–31</w:t>
      </w:r>
      <w:r>
        <w:rPr>
          <w:lang w:val="id_ID" w:bidi="id_ID"/>
        </w:rPr>
        <w:t>). Bahkan selama reformasi Yosia, orang-orang Yehuda tetap terjebak dalam kemurtadan mereka.</w:t>
      </w:r>
    </w:p>
    <w:p>
      <w:pPr/>
      <w:r>
        <w:rPr>
          <w:lang w:val="id_ID" w:bidi="id_ID"/>
        </w:rPr>
      </w:r>
      <w:r>
        <w:rPr>
          <w:lang w:val="id_ID" w:bidi="id_ID"/>
        </w:rPr>
        <w:t xml:space="preserve">Baik secara eksternal maupun internal, bangsa Yehuda berada dalam situasi kritis. Selama periode terakhir yang tragis dalam sejarah Yehuda sebagai negara merdeka inilah Habakuk hidup dan melayani sebagai nabi (lihat </w:t>
      </w:r>
      <w:r>
        <w:rPr>
          <w:lang w:val="id_ID" w:bidi="id_ID"/>
        </w:rPr>
        <w:t>Hab. 1:2–4</w:t>
      </w:r>
      <w:r>
        <w:rPr>
          <w:lang w:val="id_ID" w:bidi="id_ID"/>
        </w:rPr>
        <w:t>).</w:t>
      </w:r>
    </w:p>
    <w:p>
      <w:pPr>
        <w:pStyle w:val="Heading2"/>
      </w:pPr>
      <w:r>
        <w:rPr>
          <w:lang w:val="id_ID" w:bidi="id_ID"/>
        </w:rPr>
        <w:t>Ringkasan</w:t>
      </w:r>
    </w:p>
    <w:p>
      <w:pPr/>
      <w:r>
        <w:rPr>
          <w:lang w:val="id_ID" w:bidi="id_ID"/>
        </w:rPr>
      </w:r>
      <w:r>
        <w:rPr>
          <w:lang w:val="id_ID" w:bidi="id_ID"/>
        </w:rPr>
        <w:t>Nubuat Habakuk adalah dialog antara Allah dan nabi. Dalam ayat-ayat pembukaan, Habakuk merenungkan masyarakat Yehuda yang penuh kekerasan. Dia tidak dapat memahami mengapa Allah tampaknya mengabaikan dosa Yehuda. Habakuk merasa bahwa meskipun dia berulang kali berseru, Allah sama sekali tidak mendengarkannya (</w:t>
      </w:r>
      <w:r>
        <w:rPr>
          <w:lang w:val="id_ID" w:bidi="id_ID"/>
        </w:rPr>
        <w:t>Hab. 1:2–4</w:t>
      </w:r>
      <w:r>
        <w:rPr>
          <w:lang w:val="id_ID" w:bidi="id_ID"/>
        </w:rPr>
        <w:t>). Jawaban pertama Allah adalah bahwa Dia akan menangani kekerasan Yehuda dengan mendatangkan orang-orang yang bahkan lebih kejam, yaitu orang-orang Babel, untuk menghakimi mereka (</w:t>
      </w:r>
      <w:r>
        <w:rPr>
          <w:lang w:val="id_ID" w:bidi="id_ID"/>
        </w:rPr>
        <w:t>Hab. 1:5–11</w:t>
      </w:r>
      <w:r>
        <w:rPr>
          <w:lang w:val="id_ID" w:bidi="id_ID"/>
        </w:rPr>
        <w:t>).</w:t>
      </w:r>
    </w:p>
    <w:p>
      <w:pPr/>
      <w:r>
        <w:rPr>
          <w:lang w:val="id_ID" w:bidi="id_ID"/>
        </w:rPr>
      </w:r>
      <w:r>
        <w:rPr>
          <w:lang w:val="id_ID" w:bidi="id_ID"/>
        </w:rPr>
        <w:t>Jawaban ini membuat Habakuk semakin bingung (</w:t>
      </w:r>
      <w:r>
        <w:rPr>
          <w:lang w:val="id_ID" w:bidi="id_ID"/>
        </w:rPr>
        <w:t>Hab. 1:12–2:1</w:t>
      </w:r>
      <w:r>
        <w:rPr>
          <w:lang w:val="id_ID" w:bidi="id_ID"/>
        </w:rPr>
        <w:t>). Yehuda memang jahat, tetapi mengapa Allah menggunakan orang-orang yang bahkan lebih jahat untuk menghukum umat-Nya sendiri? Jawaban Allah untuk pertanyaan ini menekankan keadilannya dalam menghukum baik Yehuda maupun bangsa Babel (</w:t>
      </w:r>
      <w:r>
        <w:rPr>
          <w:lang w:val="id_ID" w:bidi="id_ID"/>
        </w:rPr>
        <w:t>Hab. 2:2–5</w:t>
      </w:r>
      <w:r>
        <w:rPr>
          <w:lang w:val="id_ID" w:bidi="id_ID"/>
        </w:rPr>
        <w:t>). Keduanya gagal mempertahankan standar iman dan moralitas Allah, dan keduanya layak mendapatkan penghakiman dari Allah. Dalam serangkaian yang terdiri dari lima nyanyian berisi cemoohan (</w:t>
      </w:r>
      <w:r>
        <w:rPr>
          <w:lang w:val="id_ID" w:bidi="id_ID"/>
        </w:rPr>
        <w:t>Hab. 2:6–20</w:t>
      </w:r>
      <w:r>
        <w:rPr>
          <w:lang w:val="id_ID" w:bidi="id_ID"/>
        </w:rPr>
        <w:t>), Allah mencantumkan dakwaan-Nya terhadap semua yang berbuat jahat dan melakukan ketidakadilan. Tidak diragukan lagi, ini termasuk orang-orang Babel; bahkan jika Allah menggunakan mereka untuk mencapai tujuan-Nya, orang-orang yang sama tetap bertanggung jawab untuk hidup sesuai dengan standar etika Allah. Jika mereka tidak melakukannya, mereka tidak dapat lolos dari hukuman.</w:t>
      </w:r>
    </w:p>
    <w:p>
      <w:pPr/>
      <w:r>
        <w:rPr>
          <w:lang w:val="id_ID" w:bidi="id_ID"/>
        </w:rPr>
      </w:r>
      <w:r>
        <w:rPr>
          <w:lang w:val="id_ID" w:bidi="id_ID"/>
        </w:rPr>
        <w:t>Pasal terakhir dimulai dengan Doa Habakuk memohon belas kasihan Allah atas Yehuda, meskipun Dia menghukum mereka (</w:t>
      </w:r>
      <w:r>
        <w:rPr>
          <w:lang w:val="id_ID" w:bidi="id_ID"/>
        </w:rPr>
        <w:t>Hab. 3:1–2</w:t>
      </w:r>
      <w:r>
        <w:rPr>
          <w:lang w:val="id_ID" w:bidi="id_ID"/>
        </w:rPr>
        <w:t>). Habakuk kemudian menuliskan sebuah mazmur pujian yang secara puitis mencerminkan kisah penebusan Allah atas umat-Nya selama peristiwa Keluaran (</w:t>
      </w:r>
      <w:r>
        <w:rPr>
          <w:lang w:val="id_ID" w:bidi="id_ID"/>
        </w:rPr>
        <w:t>Hab. 3:3–15</w:t>
      </w:r>
      <w:r>
        <w:rPr>
          <w:lang w:val="id_ID" w:bidi="id_ID"/>
        </w:rPr>
        <w:t>). Habakuk mengakhiri dengan pernyataan komitmen dan sebuah catatan berisi pujian (</w:t>
      </w:r>
      <w:r>
        <w:rPr>
          <w:lang w:val="id_ID" w:bidi="id_ID"/>
        </w:rPr>
        <w:t>Hab. 3:16–19</w:t>
      </w:r>
      <w:r>
        <w:rPr>
          <w:lang w:val="id_ID" w:bidi="id_ID"/>
        </w:rPr>
        <w:t>).</w:t>
      </w:r>
    </w:p>
    <w:p>
      <w:pPr>
        <w:pStyle w:val="Heading2"/>
      </w:pPr>
      <w:r>
        <w:rPr>
          <w:lang w:val="id_ID" w:bidi="id_ID"/>
        </w:rPr>
        <w:t>Penulis</w:t>
      </w:r>
    </w:p>
    <w:p>
      <w:pPr/>
      <w:r>
        <w:rPr>
          <w:lang w:val="id_ID" w:bidi="id_ID"/>
        </w:rPr>
      </w:r>
      <w:r>
        <w:rPr>
          <w:lang w:val="id_ID" w:bidi="id_ID"/>
        </w:rPr>
        <w:t xml:space="preserve">Tidak banyak yang diketahui tentang Habakuk selain bahwa ia adalah seorang nabi dari Yehuda. Salah satu manuskrip dari </w:t>
      </w:r>
      <w:r>
        <w:rPr>
          <w:i/>
          <w:lang w:val="id_ID" w:bidi="id_ID"/>
        </w:rPr>
        <w:t>Bel dan Naga</w:t>
      </w:r>
      <w:r>
        <w:rPr>
          <w:lang w:val="id_ID" w:bidi="id_ID"/>
        </w:rPr>
        <w:t>, sebuah cerita yang termasuk di akhir Kitab Daniel dalam terjemahan Yunani dari Perjanjian Lama, mengidentifikasi Habakuk sebagai seorang Lewi. Jika ini benar, hal tersebut mungkin membantu menjelaskan notasi musik dalam pasal ketiga (</w:t>
      </w:r>
      <w:r>
        <w:rPr>
          <w:lang w:val="id_ID" w:bidi="id_ID"/>
        </w:rPr>
        <w:t>Hab. 3:1</w:t>
      </w:r>
      <w:r>
        <w:rPr>
          <w:lang w:val="id_ID" w:bidi="id_ID"/>
        </w:rPr>
        <w:t xml:space="preserve">, </w:t>
      </w:r>
      <w:r>
        <w:rPr>
          <w:lang w:val="id_ID" w:bidi="id_ID"/>
        </w:rPr>
        <w:t>3</w:t>
      </w:r>
      <w:r>
        <w:rPr>
          <w:lang w:val="id_ID" w:bidi="id_ID"/>
        </w:rPr>
        <w:t xml:space="preserve">, </w:t>
      </w:r>
      <w:r>
        <w:rPr>
          <w:lang w:val="id_ID" w:bidi="id_ID"/>
        </w:rPr>
        <w:t>9</w:t>
      </w:r>
      <w:r>
        <w:rPr>
          <w:lang w:val="id_ID" w:bidi="id_ID"/>
        </w:rPr>
        <w:t xml:space="preserve">, </w:t>
      </w:r>
      <w:r>
        <w:rPr>
          <w:lang w:val="id_ID" w:bidi="id_ID"/>
        </w:rPr>
        <w:t>13</w:t>
      </w:r>
      <w:r>
        <w:rPr>
          <w:lang w:val="id_ID" w:bidi="id_ID"/>
        </w:rPr>
        <w:t xml:space="preserve">, </w:t>
      </w:r>
      <w:r>
        <w:rPr>
          <w:lang w:val="id_ID" w:bidi="id_ID"/>
        </w:rPr>
        <w:t>19</w:t>
      </w:r>
      <w:r>
        <w:rPr>
          <w:lang w:val="id_ID" w:bidi="id_ID"/>
        </w:rPr>
        <w:t xml:space="preserve">), karena pemimpin musik di Bait Suci adalah orang Lewi (lihat </w:t>
      </w:r>
      <w:r>
        <w:rPr>
          <w:lang w:val="id_ID" w:bidi="id_ID"/>
        </w:rPr>
        <w:t>1Taw. 6:31–47</w:t>
      </w:r>
      <w:r>
        <w:rPr>
          <w:lang w:val="id_ID" w:bidi="id_ID"/>
        </w:rPr>
        <w:t xml:space="preserve">; </w:t>
      </w:r>
      <w:r>
        <w:rPr>
          <w:lang w:val="id_ID" w:bidi="id_ID"/>
        </w:rPr>
        <w:t>25:1–31</w:t>
      </w:r>
      <w:r>
        <w:rPr>
          <w:lang w:val="id_ID" w:bidi="id_ID"/>
        </w:rPr>
        <w:t>). Penggunaan bahasa kiasan yang kaya oleh Habakuk dan struktur komposisinya yang cermat menunjukkan kepekaan sastranya yang tinggi. Kebenciannya terhadap amoralitas dan keruntuhan sosial yang disebabkan oleh dosa juga menunjukkan kepedulian spiritualnya yang mendalam agar umat Allah hidup sesuai dengan standar Allah.</w:t>
      </w:r>
    </w:p>
    <w:p>
      <w:pPr>
        <w:pStyle w:val="Heading2"/>
      </w:pPr>
      <w:r>
        <w:rPr>
          <w:lang w:val="id_ID" w:bidi="id_ID"/>
        </w:rPr>
        <w:t>Waktu</w:t>
      </w:r>
    </w:p>
    <w:p>
      <w:pPr/>
      <w:r>
        <w:rPr>
          <w:lang w:val="id_ID" w:bidi="id_ID"/>
        </w:rPr>
      </w:r>
      <w:r>
        <w:rPr>
          <w:lang w:val="id_ID" w:bidi="id_ID"/>
        </w:rPr>
        <w:t>Tanggal nubuat Habakuk tidak pasti. Keadaan yang disebutkan dalam kitab ini paling cocok dengan periode akhir sejarah Yehuda, tetapi sebelum pembuangan Yehuda ke Babel. Oleh karena itu, nubuat ini kemungkinan besar berasal dari sekitar tahun 645 SM (mendekati akhir pemerintahan Manasye) hingga 605 SM (invasi pertama Babel ke Yehuda). Keluhan Habakuk tentang ketidakadilan sosial (</w:t>
      </w:r>
      <w:r>
        <w:rPr>
          <w:lang w:val="id_ID" w:bidi="id_ID"/>
        </w:rPr>
        <w:t>Hab. 1:2–4</w:t>
      </w:r>
      <w:r>
        <w:rPr>
          <w:lang w:val="id_ID" w:bidi="id_ID"/>
        </w:rPr>
        <w:t>) dan perhatiannya terhadap Kekaisaran Neo-Babel (</w:t>
      </w:r>
      <w:r>
        <w:rPr>
          <w:lang w:val="id_ID" w:bidi="id_ID"/>
        </w:rPr>
        <w:t>Hab. 1:5–11</w:t>
      </w:r>
      <w:r>
        <w:rPr>
          <w:lang w:val="id_ID" w:bidi="id_ID"/>
        </w:rPr>
        <w:t xml:space="preserve">; </w:t>
      </w:r>
      <w:r>
        <w:rPr>
          <w:lang w:val="id_ID" w:bidi="id_ID"/>
        </w:rPr>
        <w:t>2:6–20</w:t>
      </w:r>
      <w:r>
        <w:rPr>
          <w:lang w:val="id_ID" w:bidi="id_ID"/>
        </w:rPr>
        <w:t>) juga mendukung penanggalan selama periode ini.</w:t>
      </w:r>
    </w:p>
    <w:p>
      <w:pPr/>
      <w:r>
        <w:rPr>
          <w:lang w:val="id_ID" w:bidi="id_ID"/>
        </w:rPr>
      </w:r>
      <w:r>
        <w:rPr>
          <w:lang w:val="id_ID" w:bidi="id_ID"/>
        </w:rPr>
        <w:t>Terkait tanggal yang lebih spesifik, ada tiga pandangan umum yang telah diajukan. (1) Banyak yang menempatkan kitab ini pada masa Raja Yoyakim (609–598 SM), yang sifat jahat dan perbuatannya yang buruk (</w:t>
      </w:r>
      <w:r>
        <w:rPr>
          <w:lang w:val="id_ID" w:bidi="id_ID"/>
        </w:rPr>
        <w:t>2Raj. 24:1–3</w:t>
      </w:r>
      <w:r>
        <w:rPr>
          <w:lang w:val="id_ID" w:bidi="id_ID"/>
        </w:rPr>
        <w:t>) memicu nubuat-nubuat berisi penghukuman (</w:t>
      </w:r>
      <w:r>
        <w:rPr>
          <w:lang w:val="id_ID" w:bidi="id_ID"/>
        </w:rPr>
        <w:t>Yer. 22:18–19</w:t>
      </w:r>
      <w:r>
        <w:rPr>
          <w:lang w:val="id_ID" w:bidi="id_ID"/>
        </w:rPr>
        <w:t xml:space="preserve">; </w:t>
      </w:r>
      <w:r>
        <w:rPr>
          <w:lang w:val="id_ID" w:bidi="id_ID"/>
        </w:rPr>
        <w:t>26:3–6</w:t>
      </w:r>
      <w:r>
        <w:rPr>
          <w:lang w:val="id_ID" w:bidi="id_ID"/>
        </w:rPr>
        <w:t xml:space="preserve">; </w:t>
      </w:r>
      <w:r>
        <w:rPr>
          <w:lang w:val="id_ID" w:bidi="id_ID"/>
        </w:rPr>
        <w:t>36:27–32</w:t>
      </w:r>
      <w:r>
        <w:rPr>
          <w:lang w:val="id_ID" w:bidi="id_ID"/>
        </w:rPr>
        <w:t>) dan ancaman invasi Babel (</w:t>
      </w:r>
      <w:r>
        <w:rPr>
          <w:lang w:val="id_ID" w:bidi="id_ID"/>
        </w:rPr>
        <w:t>Yer. 25</w:t>
      </w:r>
      <w:r>
        <w:rPr>
          <w:lang w:val="id_ID" w:bidi="id_ID"/>
        </w:rPr>
        <w:t>). (2) Yang lain berpendapat untuk masa awal Yosia (640–609 SM), yang terjadi sebelum penemuan Kitab Hukum pada 622 SM, menghadapi kemurtadan yang meluas (</w:t>
      </w:r>
      <w:r>
        <w:rPr>
          <w:lang w:val="id_ID" w:bidi="id_ID"/>
        </w:rPr>
        <w:t>2Taw. 34:1–7</w:t>
      </w:r>
      <w:r>
        <w:rPr>
          <w:lang w:val="id_ID" w:bidi="id_ID"/>
        </w:rPr>
        <w:t>). (3) Ada juga yang mendukung pandangan tradisional Yahudi bahwa Habakuk hidup pada masa pemerintahan independen Manasye (686–642 SM), yang kejahatannya (</w:t>
      </w:r>
      <w:r>
        <w:rPr>
          <w:lang w:val="id_ID" w:bidi="id_ID"/>
        </w:rPr>
        <w:t>2Raj. 21:16–17</w:t>
      </w:r>
      <w:r>
        <w:rPr>
          <w:lang w:val="id_ID" w:bidi="id_ID"/>
        </w:rPr>
        <w:t>) dan pemulihan penyembahan Kanaan serta ritual pagan (</w:t>
      </w:r>
      <w:r>
        <w:rPr>
          <w:lang w:val="id_ID" w:bidi="id_ID"/>
        </w:rPr>
        <w:t>2Raj. 21:1–11</w:t>
      </w:r>
      <w:r>
        <w:rPr>
          <w:lang w:val="id_ID" w:bidi="id_ID"/>
        </w:rPr>
        <w:t xml:space="preserve">; </w:t>
      </w:r>
      <w:r>
        <w:rPr>
          <w:lang w:val="id_ID" w:bidi="id_ID"/>
        </w:rPr>
        <w:t>2Taw. 33:1–9</w:t>
      </w:r>
      <w:r>
        <w:rPr>
          <w:lang w:val="id_ID" w:bidi="id_ID"/>
        </w:rPr>
        <w:t xml:space="preserve">, </w:t>
      </w:r>
      <w:r>
        <w:rPr>
          <w:lang w:val="id_ID" w:bidi="id_ID"/>
        </w:rPr>
        <w:t>19–20</w:t>
      </w:r>
      <w:r>
        <w:rPr>
          <w:lang w:val="id_ID" w:bidi="id_ID"/>
        </w:rPr>
        <w:t>) menyebabkan keluarnya ucapan Allah tentang kehancuran Yehuda (</w:t>
      </w:r>
      <w:r>
        <w:rPr>
          <w:lang w:val="id_ID" w:bidi="id_ID"/>
        </w:rPr>
        <w:t>2Raj. 21:12–15</w:t>
      </w:r>
      <w:r>
        <w:rPr>
          <w:lang w:val="id_ID" w:bidi="id_ID"/>
        </w:rPr>
        <w:t>).</w:t>
      </w:r>
    </w:p>
    <w:p>
      <w:pPr>
        <w:pStyle w:val="Heading2"/>
      </w:pPr>
      <w:r>
        <w:rPr>
          <w:lang w:val="id_ID" w:bidi="id_ID"/>
        </w:rPr>
        <w:t>Makna dan Pesan</w:t>
      </w:r>
    </w:p>
    <w:p>
      <w:pPr/>
      <w:r>
        <w:rPr>
          <w:lang w:val="id_ID" w:bidi="id_ID"/>
        </w:rPr>
      </w:r>
      <w:r>
        <w:rPr>
          <w:lang w:val="id_ID" w:bidi="id_ID"/>
        </w:rPr>
        <w:t>Ketika kekerasan dan korupsi merajalela serta kejahatan tampaknya berkuasa, orang beriman mungkin tergoda untuk bertanya-tanya apakah Allah benar-benar peduli atau memegang kendali. Dialog Habakuk membantu kita memahami bahwa Allah tidak membenci pertanyaan-pertanyaan semacam itu ketika disampaikan kepada-Nya dalam doa dari hati yang tulus.</w:t>
      </w:r>
    </w:p>
    <w:p>
      <w:pPr/>
      <w:r>
        <w:rPr>
          <w:lang w:val="id_ID" w:bidi="id_ID"/>
        </w:rPr>
      </w:r>
      <w:r>
        <w:rPr>
          <w:lang w:val="id_ID" w:bidi="id_ID"/>
        </w:rPr>
        <w:t>Nubuat Habakuk menegaskan kembali bahwa Allah memegang kendali atas sejarah dan tindakan-Nya selalu adil dan benar. Orang-orang beriman harus bersedia menerima jawaban Allah dan bersukacita dalam kehendak-Nya, bahkan jika tampaknya benar-benar asing bagi pemikiran mereka sendiri. Allah memang melihat dan sangat peduli terhadap apa yang terjadi di bumi. Meskipun orang-orang mungkin tidak menyadarinya, tangan kedaulatan Allah sedang bekerja, dan pada akhirnya Dia akan membawa segala sesuatu kepada sebuah kesimpulan yang tepat dan adil (</w:t>
      </w:r>
      <w:r>
        <w:rPr>
          <w:lang w:val="id_ID" w:bidi="id_ID"/>
        </w:rPr>
        <w:t>Hab. 2:2–3</w:t>
      </w:r>
      <w:r>
        <w:rPr>
          <w:lang w:val="id_ID" w:bidi="id_ID"/>
        </w:rPr>
        <w:t xml:space="preserve">, </w:t>
      </w:r>
      <w:r>
        <w:rPr>
          <w:lang w:val="id_ID" w:bidi="id_ID"/>
        </w:rPr>
        <w:t>14</w:t>
      </w:r>
      <w:r>
        <w:rPr>
          <w:lang w:val="id_ID" w:bidi="id_ID"/>
        </w:rPr>
        <w:t>).</w:t>
      </w:r>
    </w:p>
    <w:p>
      <w:pPr/>
      <w:r>
        <w:rPr>
          <w:lang w:val="id_ID" w:bidi="id_ID"/>
        </w:rPr>
      </w:r>
      <w:r>
        <w:rPr>
          <w:lang w:val="id_ID" w:bidi="id_ID"/>
        </w:rPr>
        <w:t xml:space="preserve">Bangsa Babel menyembah suatu kuasa yang memberikan mereka kemakmuran. Dakwaan Allah terhadap bangsa Babel mengingatkan para pembaca untuk menyembah hanya kepada Allah saja (bdk. </w:t>
      </w:r>
      <w:r>
        <w:rPr>
          <w:lang w:val="id_ID" w:bidi="id_ID"/>
        </w:rPr>
        <w:t>1Yoh. 5:21</w:t>
      </w:r>
      <w:r>
        <w:rPr>
          <w:lang w:val="id_ID" w:bidi="id_ID"/>
        </w:rPr>
        <w:t>).</w:t>
      </w:r>
    </w:p>
    <w:p>
      <w:pPr/>
      <w:r>
        <w:rPr>
          <w:lang w:val="id_ID" w:bidi="id_ID"/>
        </w:rPr>
      </w:r>
      <w:r>
        <w:rPr>
          <w:lang w:val="id_ID" w:bidi="id_ID"/>
        </w:rPr>
        <w:t>Pesan Allah kepada Habakuk juga menekankan bahwa kehidupan suci orang beriman dalam iman dan kesetiaan harus mencerminkan standar etika Allah (</w:t>
      </w:r>
      <w:r>
        <w:rPr>
          <w:lang w:val="id_ID" w:bidi="id_ID"/>
        </w:rPr>
        <w:t>Hab. 1:12</w:t>
      </w:r>
      <w:r>
        <w:rPr>
          <w:lang w:val="id_ID" w:bidi="id_ID"/>
        </w:rPr>
        <w:t xml:space="preserve">; </w:t>
      </w:r>
      <w:r>
        <w:rPr>
          <w:lang w:val="id_ID" w:bidi="id_ID"/>
        </w:rPr>
        <w:t>2:4</w:t>
      </w:r>
      <w:r>
        <w:rPr>
          <w:lang w:val="id_ID" w:bidi="id_ID"/>
        </w:rPr>
        <w:t>). Mereka yang percaya dan aktif melayani Allah akan dapat bersukacita dalam Tuhan (</w:t>
      </w:r>
      <w:r>
        <w:rPr>
          <w:lang w:val="id_ID" w:bidi="id_ID"/>
        </w:rPr>
        <w:t>Hab. 3:18</w:t>
      </w:r>
      <w:r>
        <w:rPr>
          <w:lang w:val="id_ID" w:bidi="id_ID"/>
        </w:rPr>
        <w:t xml:space="preserve">; </w:t>
      </w:r>
      <w:r>
        <w:rPr>
          <w:lang w:val="id_ID" w:bidi="id_ID"/>
        </w:rPr>
        <w:t>Flp. 4:4</w:t>
      </w:r>
      <w:r>
        <w:rPr>
          <w:lang w:val="id_ID" w:bidi="id_ID"/>
        </w:rPr>
        <w:t>) dan hidup dengan kemenangan dalam situasi apapun (</w:t>
      </w:r>
      <w:r>
        <w:rPr>
          <w:lang w:val="id_ID" w:bidi="id_ID"/>
        </w:rPr>
        <w:t>Hab. 2:20</w:t>
      </w:r>
      <w:r>
        <w:rPr>
          <w:lang w:val="id_ID" w:bidi="id_ID"/>
        </w:rPr>
        <w:t xml:space="preserve">; </w:t>
      </w:r>
      <w:r>
        <w:rPr>
          <w:lang w:val="id_ID" w:bidi="id_ID"/>
        </w:rPr>
        <w:t>3:16–19</w:t>
      </w:r>
      <w:r>
        <w:rPr>
          <w:lang w:val="id_ID" w:bidi="id_ID"/>
        </w:rPr>
        <w:t xml:space="preserve">; lihat juga </w:t>
      </w:r>
      <w:r>
        <w:rPr>
          <w:lang w:val="id_ID" w:bidi="id_ID"/>
        </w:rPr>
        <w:t>Rm. 1:16–17</w:t>
      </w:r>
      <w:r>
        <w:rPr>
          <w:lang w:val="id_ID" w:bidi="id_ID"/>
        </w:rPr>
        <w:t xml:space="preserve">; </w:t>
      </w:r>
      <w:r>
        <w:rPr>
          <w:lang w:val="id_ID" w:bidi="id_ID"/>
        </w:rPr>
        <w:t>Gal. 3:11</w:t>
      </w:r>
      <w:r>
        <w:rPr>
          <w:lang w:val="id_ID" w:bidi="id_ID"/>
        </w:rPr>
        <w:t xml:space="preserve">; </w:t>
      </w:r>
      <w:r>
        <w:rPr>
          <w:lang w:val="id_ID" w:bidi="id_ID"/>
        </w:rPr>
        <w:t>Ibr. 10:35–39</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