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HAG</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Hagai</w:t>
      </w:r>
      <w:r>
        <w:rPr>
          <w:lang w:val="id_ID" w:bidi="id_ID"/>
        </w:rPr>
      </w:r>
    </w:p>
    <w:p>
      <w:pPr/>
      <w:r>
        <w:rPr>
          <w:lang w:val="id_ID" w:bidi="id_ID"/>
        </w:rPr>
      </w:r>
      <w:r>
        <w:rPr>
          <w:lang w:val="id_ID" w:bidi="id_ID"/>
        </w:rPr>
        <w:t>Bait Suci masih dalam reruntuhan hampir dua puluh tahun setelah orang-orang Ibrani kembali ke tanah Yehuda dari pembuangan di Babel. Namun, orang-orang Yehuda sendiri tinggal di rumah-rumah yang nyaman. Tentu saja, rumah Allah layak mendapatkan yang lebih baik! Hagai menunjukkan ketidaksesuaian ini dan berhasil membangkitkan semangat orang-orang untuk membangun kembali Bait Tuhan. Hagai memberikan visi yang baru kepada bangsa Israel tentang bagaimana upaya mereka akan melayani rencana Allah bagi umat-Nya.</w:t>
      </w:r>
    </w:p>
    <w:p>
      <w:pPr>
        <w:pStyle w:val="Heading2"/>
      </w:pPr>
      <w:r>
        <w:rPr>
          <w:lang w:val="id_ID" w:bidi="id_ID"/>
        </w:rPr>
        <w:t>Latar Belakang</w:t>
      </w:r>
    </w:p>
    <w:p>
      <w:pPr/>
      <w:r>
        <w:rPr>
          <w:lang w:val="id_ID" w:bidi="id_ID"/>
        </w:rPr>
      </w:r>
      <w:r>
        <w:rPr>
          <w:lang w:val="id_ID" w:bidi="id_ID"/>
        </w:rPr>
        <w:t xml:space="preserve">Pada tahun 538 SM, Koresh yang Agung, raja Persia, mengeluarkan dekrit yang mengizinkan bangsa-bangsa yang telah ditaklukkan dan dideportasi oleh bangsa Babel untuk kembali ke tanah air mereka (lihat </w:t>
      </w:r>
      <w:r>
        <w:rPr>
          <w:lang w:val="id_ID" w:bidi="id_ID"/>
        </w:rPr>
        <w:t>Ezra 1:1–11</w:t>
      </w:r>
      <w:r>
        <w:rPr>
          <w:lang w:val="id_ID" w:bidi="id_ID"/>
        </w:rPr>
        <w:t>). Para imigran pertama yang kembali ke Yerusalem dipimpin oleh Sesbazar, gubernur pertama dari komunitas yang telah dipulihkan (</w:t>
      </w:r>
      <w:r>
        <w:rPr>
          <w:lang w:val="id_ID" w:bidi="id_ID"/>
        </w:rPr>
        <w:t>Ezra 1:5–11</w:t>
      </w:r>
      <w:r>
        <w:rPr>
          <w:lang w:val="id_ID" w:bidi="id_ID"/>
        </w:rPr>
        <w:t>). Dengan penuh semangat, orang-orang buangan yang kembali itu segera mulai membangun kembali mezbah dan Bait Suci (</w:t>
      </w:r>
      <w:r>
        <w:rPr>
          <w:lang w:val="id_ID" w:bidi="id_ID"/>
        </w:rPr>
        <w:t>Ezra 3:1–13</w:t>
      </w:r>
      <w:r>
        <w:rPr>
          <w:lang w:val="id_ID" w:bidi="id_ID"/>
        </w:rPr>
        <w:t>), tetapi penduduk setempat yang adalah penyembah berhala mengancam bangsa Israel dan menghalangi mereka dari pekerjaan yang diberikan Allah (</w:t>
      </w:r>
      <w:r>
        <w:rPr>
          <w:lang w:val="id_ID" w:bidi="id_ID"/>
        </w:rPr>
        <w:t>Ezra 4:4–24</w:t>
      </w:r>
      <w:r>
        <w:rPr>
          <w:lang w:val="id_ID" w:bidi="id_ID"/>
        </w:rPr>
        <w:t>). Lokasi pembangunan tersebut terbengkalai selama hampir dua puluh tahun setelah mereka kembali.</w:t>
      </w:r>
    </w:p>
    <w:p>
      <w:pPr/>
      <w:r>
        <w:rPr>
          <w:lang w:val="id_ID" w:bidi="id_ID"/>
        </w:rPr>
      </w:r>
      <w:r>
        <w:rPr>
          <w:lang w:val="id_ID" w:bidi="id_ID"/>
        </w:rPr>
        <w:t>Bangsa Ibrani menjadi muram selama periode ini. Keegoisan melumpuhkan semangat komunitas, dan sikap apatis serta kekecewaan mengurangi ibadah mereka. Hanya sebagian kecil orang-orang Ibrani buangan yang benar-benar kembali ke Yehuda, tembok-tembok kota masih berupa reruntuhan, Bait Allah hanya berupa tumpukan puing-puing, dan kekeringan serta wabah penyakit melanda negeri itu. Yehuda merana sebagai negara bawahan dari Persia sementara bangsa-bangsa di sekitarnya mengganggu kepemimpinan di Yerusalem dan menggagalkan upaya perbaikan yang mereka lakukan.</w:t>
      </w:r>
    </w:p>
    <w:p>
      <w:pPr/>
      <w:r>
        <w:rPr>
          <w:lang w:val="id_ID" w:bidi="id_ID"/>
        </w:rPr>
      </w:r>
      <w:r>
        <w:rPr>
          <w:lang w:val="id_ID" w:bidi="id_ID"/>
        </w:rPr>
        <w:t>Ketika Hagai mulai berkhotbah pada tahun 520 SM, negeri tersebut sedang dilanda kekeringan yang parah (</w:t>
      </w:r>
      <w:r>
        <w:rPr>
          <w:lang w:val="id_ID" w:bidi="id_ID"/>
        </w:rPr>
        <w:t>Hag. 1:11</w:t>
      </w:r>
      <w:r>
        <w:rPr>
          <w:lang w:val="id_ID" w:bidi="id_ID"/>
        </w:rPr>
        <w:t>). Allah mengutusnya untuk memotivasi bangsa Israel agar membangun kembali Bait Allah dan mendorong pembaruan rohani di kalangan orang-orang Yerusalem. Sebagai tanggapan, mereka melanjutkan pembangunan kembali (</w:t>
      </w:r>
      <w:r>
        <w:rPr>
          <w:lang w:val="id_ID" w:bidi="id_ID"/>
        </w:rPr>
        <w:t>Hag. 1:14</w:t>
      </w:r>
      <w:r>
        <w:rPr>
          <w:lang w:val="id_ID" w:bidi="id_ID"/>
        </w:rPr>
        <w:t xml:space="preserve">), dan proyek tersebut selesai pada bulan Maret 515 SM (lihat </w:t>
      </w:r>
      <w:r>
        <w:rPr>
          <w:lang w:val="id_ID" w:bidi="id_ID"/>
        </w:rPr>
        <w:t>Ezra 6:15</w:t>
      </w:r>
      <w:r>
        <w:rPr>
          <w:lang w:val="id_ID" w:bidi="id_ID"/>
        </w:rPr>
        <w:t>).</w:t>
      </w:r>
    </w:p>
    <w:p>
      <w:pPr>
        <w:pStyle w:val="Heading2"/>
      </w:pPr>
      <w:r>
        <w:rPr>
          <w:lang w:val="id_ID" w:bidi="id_ID"/>
        </w:rPr>
        <w:t>Ringkasan</w:t>
      </w:r>
    </w:p>
    <w:p>
      <w:pPr/>
      <w:r>
        <w:rPr>
          <w:lang w:val="id_ID" w:bidi="id_ID"/>
        </w:rPr>
      </w:r>
      <w:r>
        <w:rPr>
          <w:lang w:val="id_ID" w:bidi="id_ID"/>
        </w:rPr>
        <w:t>Masing-masing dari keempat pesan Hagai menyoroti masalah teologis yang berbeda. Khotbah pertama (</w:t>
      </w:r>
      <w:r>
        <w:rPr>
          <w:lang w:val="id_ID" w:bidi="id_ID"/>
        </w:rPr>
        <w:t>psl. 1</w:t>
      </w:r>
      <w:r>
        <w:rPr>
          <w:lang w:val="id_ID" w:bidi="id_ID"/>
        </w:rPr>
        <w:t>) menantang orang Yudea untuk berhenti mengutamakan kenyamanan pribadi mereka dan berfokus untuk memulihkan penyembahan yang benar kepada Allah dengan membangun kembali Bait Allah.</w:t>
      </w:r>
    </w:p>
    <w:p>
      <w:pPr/>
      <w:r>
        <w:rPr>
          <w:lang w:val="id_ID" w:bidi="id_ID"/>
        </w:rPr>
      </w:r>
      <w:r>
        <w:rPr>
          <w:lang w:val="id_ID" w:bidi="id_ID"/>
        </w:rPr>
        <w:t>Pesan kedua (</w:t>
      </w:r>
      <w:r>
        <w:rPr>
          <w:lang w:val="id_ID" w:bidi="id_ID"/>
        </w:rPr>
        <w:t>Hag. 2:1–9</w:t>
      </w:r>
      <w:r>
        <w:rPr>
          <w:lang w:val="id_ID" w:bidi="id_ID"/>
        </w:rPr>
        <w:t>) meyakinkan komunitas itu bahwa Allah tidak melupakan janji-janji berkat dan pemulihan yang telah disampaikan oleh para nabi sebelumnya. Kemuliaan Tuhan akan kembali memenuhi Bait Allah (</w:t>
      </w:r>
      <w:r>
        <w:rPr>
          <w:lang w:val="id_ID" w:bidi="id_ID"/>
        </w:rPr>
        <w:t>Hag. 2:7</w:t>
      </w:r>
      <w:r>
        <w:rPr>
          <w:lang w:val="id_ID" w:bidi="id_ID"/>
        </w:rPr>
        <w:t>). Ini bukan sekadar kata-kata kosong untuk menguatkan mereka yang tertekan, tetapi merupakan janji pasti dari Allah kepada umat pilihan-Nya.</w:t>
      </w:r>
    </w:p>
    <w:p>
      <w:pPr/>
      <w:r>
        <w:rPr>
          <w:lang w:val="id_ID" w:bidi="id_ID"/>
        </w:rPr>
      </w:r>
      <w:r>
        <w:rPr>
          <w:lang w:val="id_ID" w:bidi="id_ID"/>
        </w:rPr>
        <w:t>Pesan ketiga (</w:t>
      </w:r>
      <w:r>
        <w:rPr>
          <w:lang w:val="id_ID" w:bidi="id_ID"/>
        </w:rPr>
        <w:t>Hag. 2:10–19</w:t>
      </w:r>
      <w:r>
        <w:rPr>
          <w:lang w:val="id_ID" w:bidi="id_ID"/>
        </w:rPr>
        <w:t xml:space="preserve">) menekankan kemurnian ritual sebagai tema utamanya. Hagai mengingatkan pendengarnya bahwa perintah-perintah dari Hukum Musa tetap berlaku. Allah mengharapkan umat-Nya untuk menjadi kudus, sebagaimana Dia adalah kudus (lihat </w:t>
      </w:r>
      <w:r>
        <w:rPr>
          <w:lang w:val="id_ID" w:bidi="id_ID"/>
        </w:rPr>
        <w:t>Im. 11:44–45</w:t>
      </w:r>
      <w:r>
        <w:rPr>
          <w:lang w:val="id_ID" w:bidi="id_ID"/>
        </w:rPr>
        <w:t>).</w:t>
      </w:r>
    </w:p>
    <w:p>
      <w:pPr/>
      <w:r>
        <w:rPr>
          <w:lang w:val="id_ID" w:bidi="id_ID"/>
        </w:rPr>
      </w:r>
      <w:r>
        <w:rPr>
          <w:lang w:val="id_ID" w:bidi="id_ID"/>
        </w:rPr>
        <w:t>Pesan terakhir dan mungkin paling penting dari Hagai (</w:t>
      </w:r>
      <w:r>
        <w:rPr>
          <w:lang w:val="id_ID" w:bidi="id_ID"/>
        </w:rPr>
        <w:t>Hag. 2:20–23</w:t>
      </w:r>
      <w:r>
        <w:rPr>
          <w:lang w:val="id_ID" w:bidi="id_ID"/>
        </w:rPr>
        <w:t xml:space="preserve">) menegaskan kembali pentingnya keturunan Raja Daud dalam kehidupan religius dan politik Israel. Dinasti Daud sangat penting untuk pemulihan bangsa Ibrani setelah Pembuangan ke Babel (lihat </w:t>
      </w:r>
      <w:r>
        <w:rPr>
          <w:lang w:val="id_ID" w:bidi="id_ID"/>
        </w:rPr>
        <w:t>Yer. 23:5</w:t>
      </w:r>
      <w:r>
        <w:rPr>
          <w:lang w:val="id_ID" w:bidi="id_ID"/>
        </w:rPr>
        <w:t xml:space="preserve">; </w:t>
      </w:r>
      <w:r>
        <w:rPr>
          <w:lang w:val="id_ID" w:bidi="id_ID"/>
        </w:rPr>
        <w:t>33:15</w:t>
      </w:r>
      <w:r>
        <w:rPr>
          <w:lang w:val="id_ID" w:bidi="id_ID"/>
        </w:rPr>
        <w:t xml:space="preserve">; </w:t>
      </w:r>
      <w:r>
        <w:rPr>
          <w:lang w:val="id_ID" w:bidi="id_ID"/>
        </w:rPr>
        <w:t>Yeh. 37:24</w:t>
      </w:r>
      <w:r>
        <w:rPr>
          <w:lang w:val="id_ID" w:bidi="id_ID"/>
        </w:rPr>
        <w:t>). Zerubabel, sebagai keturunan Raja Daud, ditugaskan untuk melayani sebagai "cincin meterai" Tuhan, yang menandai awal pemulihan Allah atas Israel (</w:t>
      </w:r>
      <w:r>
        <w:rPr>
          <w:lang w:val="id_ID" w:bidi="id_ID"/>
        </w:rPr>
        <w:t>Hag. 2:23</w:t>
      </w:r>
      <w:r>
        <w:rPr>
          <w:lang w:val="id_ID" w:bidi="id_ID"/>
        </w:rPr>
        <w:t xml:space="preserve">; bandingkan </w:t>
      </w:r>
      <w:r>
        <w:rPr>
          <w:lang w:val="id_ID" w:bidi="id_ID"/>
        </w:rPr>
        <w:t>Yer. 22:24</w:t>
      </w:r>
      <w:r>
        <w:rPr>
          <w:lang w:val="id_ID" w:bidi="id_ID"/>
        </w:rPr>
        <w:t>) dan menunjuk kepada Yesus Kristus, seorang keturunan Daud (</w:t>
      </w:r>
      <w:r>
        <w:rPr>
          <w:lang w:val="id_ID" w:bidi="id_ID"/>
        </w:rPr>
        <w:t>Mat. 1:1</w:t>
      </w:r>
      <w:r>
        <w:rPr>
          <w:lang w:val="id_ID" w:bidi="id_ID"/>
        </w:rPr>
        <w:t>) yang akan memerintah dalam kebenaran untuk selama-lamanya.</w:t>
      </w:r>
    </w:p>
    <w:p>
      <w:pPr>
        <w:pStyle w:val="Heading2"/>
      </w:pPr>
      <w:r>
        <w:rPr>
          <w:lang w:val="id_ID" w:bidi="id_ID"/>
        </w:rPr>
        <w:t>Penulisan</w:t>
      </w:r>
    </w:p>
    <w:p>
      <w:pPr/>
      <w:r>
        <w:rPr>
          <w:lang w:val="id_ID" w:bidi="id_ID"/>
        </w:rPr>
      </w:r>
      <w:r>
        <w:rPr>
          <w:lang w:val="id_ID" w:bidi="id_ID"/>
        </w:rPr>
        <w:t>Kitab Hagai tidak menyebutkan siapa penulisnya, tetapi kemungkinan besar Hagai menulis khotbahnya sendiri (</w:t>
      </w:r>
      <w:r>
        <w:rPr>
          <w:lang w:val="id_ID" w:bidi="id_ID"/>
        </w:rPr>
        <w:t>Hag. 1:1</w:t>
      </w:r>
      <w:r>
        <w:rPr>
          <w:lang w:val="id_ID" w:bidi="id_ID"/>
        </w:rPr>
        <w:t xml:space="preserve">, </w:t>
      </w:r>
      <w:r>
        <w:rPr>
          <w:lang w:val="id_ID" w:bidi="id_ID"/>
        </w:rPr>
        <w:t>3</w:t>
      </w:r>
      <w:r>
        <w:rPr>
          <w:lang w:val="id_ID" w:bidi="id_ID"/>
        </w:rPr>
        <w:t xml:space="preserve">). Alkitab tidak mencatat informasi biografi tentang nabi Hagai, tetapi pelayanannya didukung oleh </w:t>
      </w:r>
      <w:r>
        <w:rPr>
          <w:lang w:val="id_ID" w:bidi="id_ID"/>
        </w:rPr>
        <w:t>Ezra 6:14</w:t>
      </w:r>
      <w:r>
        <w:rPr>
          <w:lang w:val="id_ID" w:bidi="id_ID"/>
        </w:rPr>
        <w:t>. Hagai mungkin menulis kitabnya antara saat menyampaikan khotbahnya (520 SM) dan penyelesaian Bait Suci (515 SM), sebuah peristiwa yang tidak disebutkan dalam nubuat tersebut.</w:t>
      </w:r>
    </w:p>
    <w:p>
      <w:pPr>
        <w:pStyle w:val="Heading2"/>
      </w:pPr>
      <w:r>
        <w:rPr>
          <w:lang w:val="id_ID" w:bidi="id_ID"/>
        </w:rPr>
        <w:t>Waktu</w:t>
      </w:r>
    </w:p>
    <w:p>
      <w:pPr/>
      <w:r>
        <w:rPr>
          <w:lang w:val="id_ID" w:bidi="id_ID"/>
        </w:rPr>
      </w:r>
      <w:r>
        <w:rPr>
          <w:lang w:val="id_ID" w:bidi="id_ID"/>
        </w:rPr>
        <w:t xml:space="preserve">Hagai menyampaikan pesannya antara bulan Agustus dan Desember tahun 520 SM, yaitu pada tahun kedua pemerintahan Darius I, raja Persia (lihat </w:t>
      </w:r>
      <w:r>
        <w:rPr>
          <w:lang w:val="id_ID" w:bidi="id_ID"/>
        </w:rPr>
        <w:t>Hag. 1:1</w:t>
      </w:r>
      <w:r>
        <w:rPr>
          <w:lang w:val="id_ID" w:bidi="id_ID"/>
        </w:rPr>
        <w:t xml:space="preserve">, </w:t>
      </w:r>
      <w:r>
        <w:rPr>
          <w:lang w:val="id_ID" w:bidi="id_ID"/>
        </w:rPr>
        <w:t>15</w:t>
      </w:r>
      <w:r>
        <w:rPr>
          <w:lang w:val="id_ID" w:bidi="id_ID"/>
        </w:rPr>
        <w:t xml:space="preserve">; </w:t>
      </w:r>
      <w:r>
        <w:rPr>
          <w:lang w:val="id_ID" w:bidi="id_ID"/>
        </w:rPr>
        <w:t>2:1</w:t>
      </w:r>
      <w:r>
        <w:rPr>
          <w:lang w:val="id_ID" w:bidi="id_ID"/>
        </w:rPr>
        <w:t xml:space="preserve">, </w:t>
      </w:r>
      <w:r>
        <w:rPr>
          <w:lang w:val="id_ID" w:bidi="id_ID"/>
        </w:rPr>
        <w:t>10</w:t>
      </w:r>
      <w:r>
        <w:rPr>
          <w:lang w:val="id_ID" w:bidi="id_ID"/>
        </w:rPr>
        <w:t xml:space="preserve">). Pelayanan Hagai di Yudea setelah pembuangan berlangsung bersamaan dengan Zakharia, yang mulai berkhotbah di Yerusalem pada bulan November tahun itu (lihat </w:t>
      </w:r>
      <w:r>
        <w:rPr>
          <w:lang w:val="id_ID" w:bidi="id_ID"/>
        </w:rPr>
        <w:t>Za. 1:1</w:t>
      </w:r>
      <w:r>
        <w:rPr>
          <w:lang w:val="id_ID" w:bidi="id_ID"/>
        </w:rPr>
        <w:t>).</w:t>
      </w:r>
    </w:p>
    <w:p>
      <w:pPr>
        <w:pStyle w:val="Heading2"/>
      </w:pPr>
      <w:r>
        <w:rPr>
          <w:lang w:val="id_ID" w:bidi="id_ID"/>
        </w:rPr>
        <w:t>Genre Sastra</w:t>
      </w:r>
    </w:p>
    <w:p>
      <w:pPr/>
      <w:r>
        <w:rPr>
          <w:lang w:val="id_ID" w:bidi="id_ID"/>
        </w:rPr>
      </w:r>
      <w:r>
        <w:rPr>
          <w:lang w:val="id_ID" w:bidi="id_ID"/>
        </w:rPr>
        <w:t xml:space="preserve">Meskipun bukan sebuah karya agung seperti kitab Yesaya atau Yeremia, kitab Hagai memiliki karakter sastra. Hagai secara khusus menggunakan pertanyaan-pertanyaan retoris untuk menekankan tesisnya dalam tiga dari empat pesan yang ia sampaikan (lihat </w:t>
      </w:r>
      <w:r>
        <w:rPr>
          <w:lang w:val="id_ID" w:bidi="id_ID"/>
        </w:rPr>
        <w:t>Hag. 1:4</w:t>
      </w:r>
      <w:r>
        <w:rPr>
          <w:lang w:val="id_ID" w:bidi="id_ID"/>
        </w:rPr>
        <w:t xml:space="preserve">; </w:t>
      </w:r>
      <w:r>
        <w:rPr>
          <w:lang w:val="id_ID" w:bidi="id_ID"/>
        </w:rPr>
        <w:t>2:3</w:t>
      </w:r>
      <w:r>
        <w:rPr>
          <w:lang w:val="id_ID" w:bidi="id_ID"/>
        </w:rPr>
        <w:t xml:space="preserve">, </w:t>
      </w:r>
      <w:r>
        <w:rPr>
          <w:lang w:val="id_ID" w:bidi="id_ID"/>
        </w:rPr>
        <w:t>19</w:t>
      </w:r>
      <w:r>
        <w:rPr>
          <w:lang w:val="id_ID" w:bidi="id_ID"/>
        </w:rPr>
        <w:t xml:space="preserve">). Ia mengulangi kata-kata atau frasa untuk menetapkan nada bagi khotbahnya (misalnya, pengulangan “Perhatikanlah keadaanmu!” </w:t>
      </w:r>
      <w:r>
        <w:rPr>
          <w:lang w:val="id_ID" w:bidi="id_ID"/>
        </w:rPr>
        <w:t>Hag. 1:5</w:t>
      </w:r>
      <w:r>
        <w:rPr>
          <w:lang w:val="id_ID" w:bidi="id_ID"/>
        </w:rPr>
        <w:t xml:space="preserve">, </w:t>
      </w:r>
      <w:r>
        <w:rPr>
          <w:lang w:val="id_ID" w:bidi="id_ID"/>
        </w:rPr>
        <w:t>7</w:t>
      </w:r>
      <w:r>
        <w:rPr>
          <w:lang w:val="id_ID" w:bidi="id_ID"/>
        </w:rPr>
        <w:t xml:space="preserve">; </w:t>
      </w:r>
      <w:r>
        <w:rPr>
          <w:lang w:val="id_ID" w:bidi="id_ID"/>
        </w:rPr>
        <w:t>2:15</w:t>
      </w:r>
      <w:r>
        <w:rPr>
          <w:lang w:val="id_ID" w:bidi="id_ID"/>
        </w:rPr>
        <w:t>), dan sesekali menggunakan permainan kata (misalnya, bahasa Ibrani khareb, “reruntuhan” [</w:t>
      </w:r>
      <w:r>
        <w:rPr>
          <w:lang w:val="id_ID" w:bidi="id_ID"/>
        </w:rPr>
        <w:t>Hag. 1:4</w:t>
      </w:r>
      <w:r>
        <w:rPr>
          <w:lang w:val="id_ID" w:bidi="id_ID"/>
        </w:rPr>
        <w:t>] dan khoreb, “kekeringan” [</w:t>
      </w:r>
      <w:r>
        <w:rPr>
          <w:lang w:val="id_ID" w:bidi="id_ID"/>
        </w:rPr>
        <w:t>Hag. 1:11</w:t>
      </w:r>
      <w:r>
        <w:rPr>
          <w:lang w:val="id_ID" w:bidi="id_ID"/>
        </w:rPr>
        <w:t>]).</w:t>
      </w:r>
    </w:p>
    <w:p>
      <w:pPr/>
      <w:r>
        <w:rPr>
          <w:lang w:val="id_ID" w:bidi="id_ID"/>
        </w:rPr>
      </w:r>
      <w:r>
        <w:rPr>
          <w:lang w:val="id_ID" w:bidi="id_ID"/>
        </w:rPr>
        <w:t xml:space="preserve">Pesan-pesan tertulis Hagai mungkin merupakan ringkasan dari khotbah-khotbah yang lebih panjang. Pesan-pesan tersebut adalah </w:t>
      </w:r>
      <w:r>
        <w:rPr>
          <w:i/>
          <w:lang w:val="id_ID" w:bidi="id_ID"/>
        </w:rPr>
        <w:t>nubuat</w:t>
      </w:r>
      <w:r>
        <w:rPr>
          <w:lang w:val="id_ID" w:bidi="id_ID"/>
        </w:rPr>
        <w:t xml:space="preserve">—pesan otoritatif yang diilhami oleh Allah. Nubuat sering kali mencakup ungkapan seperti rumusan yang menggunakan kata dan frasa yang standar. Beberapa rumusan ini muncul dalam Hagai: rumusan mengenai “tanggal” (misalnya, “tahun yang kedua zaman raja Darius,” </w:t>
      </w:r>
      <w:r>
        <w:rPr>
          <w:lang w:val="id_ID" w:bidi="id_ID"/>
        </w:rPr>
        <w:t>Hag. 1:1</w:t>
      </w:r>
      <w:r>
        <w:rPr>
          <w:lang w:val="id_ID" w:bidi="id_ID"/>
        </w:rPr>
        <w:t xml:space="preserve">; </w:t>
      </w:r>
      <w:r>
        <w:rPr>
          <w:lang w:val="id_ID" w:bidi="id_ID"/>
        </w:rPr>
        <w:t>2:1</w:t>
      </w:r>
      <w:r>
        <w:rPr>
          <w:lang w:val="id_ID" w:bidi="id_ID"/>
        </w:rPr>
        <w:t xml:space="preserve">, </w:t>
      </w:r>
      <w:r>
        <w:rPr>
          <w:lang w:val="id_ID" w:bidi="id_ID"/>
        </w:rPr>
        <w:t>10</w:t>
      </w:r>
      <w:r>
        <w:rPr>
          <w:lang w:val="id_ID" w:bidi="id_ID"/>
        </w:rPr>
        <w:t xml:space="preserve">, </w:t>
      </w:r>
      <w:r>
        <w:rPr>
          <w:lang w:val="id_ID" w:bidi="id_ID"/>
        </w:rPr>
        <w:t>20</w:t>
      </w:r>
      <w:r>
        <w:rPr>
          <w:lang w:val="id_ID" w:bidi="id_ID"/>
        </w:rPr>
        <w:t xml:space="preserve">), formula “pesan” (“datanglah firman Tuhan,” </w:t>
      </w:r>
      <w:r>
        <w:rPr>
          <w:lang w:val="id_ID" w:bidi="id_ID"/>
        </w:rPr>
        <w:t>Hag. 1:1</w:t>
      </w:r>
      <w:r>
        <w:rPr>
          <w:lang w:val="id_ID" w:bidi="id_ID"/>
        </w:rPr>
        <w:t xml:space="preserve">; </w:t>
      </w:r>
      <w:r>
        <w:rPr>
          <w:lang w:val="id_ID" w:bidi="id_ID"/>
        </w:rPr>
        <w:t>2:1</w:t>
      </w:r>
      <w:r>
        <w:rPr>
          <w:lang w:val="id_ID" w:bidi="id_ID"/>
        </w:rPr>
        <w:t xml:space="preserve">, </w:t>
      </w:r>
      <w:r>
        <w:rPr>
          <w:lang w:val="id_ID" w:bidi="id_ID"/>
        </w:rPr>
        <w:t>10</w:t>
      </w:r>
      <w:r>
        <w:rPr>
          <w:lang w:val="id_ID" w:bidi="id_ID"/>
        </w:rPr>
        <w:t xml:space="preserve">, </w:t>
      </w:r>
      <w:r>
        <w:rPr>
          <w:lang w:val="id_ID" w:bidi="id_ID"/>
        </w:rPr>
        <w:t>20</w:t>
      </w:r>
      <w:r>
        <w:rPr>
          <w:lang w:val="id_ID" w:bidi="id_ID"/>
        </w:rPr>
        <w:t xml:space="preserve">), rumusan mengenai “Allah-sebagai-pembicara” (“Beginilah firman Tuhan” </w:t>
      </w:r>
      <w:r>
        <w:rPr>
          <w:lang w:val="id_ID" w:bidi="id_ID"/>
        </w:rPr>
        <w:t>Hag. 1:7</w:t>
      </w:r>
      <w:r>
        <w:rPr>
          <w:lang w:val="id_ID" w:bidi="id_ID"/>
        </w:rPr>
        <w:t xml:space="preserve">, </w:t>
      </w:r>
      <w:r>
        <w:rPr>
          <w:lang w:val="id_ID" w:bidi="id_ID"/>
        </w:rPr>
        <w:t>13</w:t>
      </w:r>
      <w:r>
        <w:rPr>
          <w:lang w:val="id_ID" w:bidi="id_ID"/>
        </w:rPr>
        <w:t xml:space="preserve">; </w:t>
      </w:r>
      <w:r>
        <w:rPr>
          <w:lang w:val="id_ID" w:bidi="id_ID"/>
        </w:rPr>
        <w:t>2:4</w:t>
      </w:r>
      <w:r>
        <w:rPr>
          <w:lang w:val="id_ID" w:bidi="id_ID"/>
        </w:rPr>
        <w:t xml:space="preserve">), dan rumusan mengenai “hubungan Perjanjian” (“Aku ini menyertai kamu” </w:t>
      </w:r>
      <w:r>
        <w:rPr>
          <w:lang w:val="id_ID" w:bidi="id_ID"/>
        </w:rPr>
        <w:t>Hag. 2:4–5</w:t>
      </w:r>
      <w:r>
        <w:rPr>
          <w:lang w:val="id_ID" w:bidi="id_ID"/>
        </w:rPr>
        <w:t>).</w:t>
      </w:r>
    </w:p>
    <w:p>
      <w:pPr>
        <w:pStyle w:val="Heading2"/>
      </w:pPr>
      <w:r>
        <w:rPr>
          <w:lang w:val="id_ID" w:bidi="id_ID"/>
        </w:rPr>
        <w:t>Makna dan Pesan</w:t>
      </w:r>
    </w:p>
    <w:p>
      <w:pPr/>
      <w:r>
        <w:rPr>
          <w:lang w:val="id_ID" w:bidi="id_ID"/>
        </w:rPr>
      </w:r>
      <w:r>
        <w:rPr>
          <w:lang w:val="id_ID" w:bidi="id_ID"/>
        </w:rPr>
        <w:t>Empat khotbah singkat Hagai merupakan panggilan untuk membangunkan sebuah komunitas yang tertidur secara rohani. Pesannya adalah untuk “bangun dan pergi bekerja” membangun kembali Bait Tuhan di Yerusalem.</w:t>
      </w:r>
    </w:p>
    <w:p>
      <w:pPr/>
      <w:r>
        <w:rPr>
          <w:lang w:val="id_ID" w:bidi="id_ID"/>
        </w:rPr>
      </w:r>
      <w:r>
        <w:rPr>
          <w:lang w:val="id_ID" w:bidi="id_ID"/>
        </w:rPr>
        <w:t>Hagai menghubungkan kurangnya keberhasilan pertanian dan ekonomi masyarakat dengan pengabaian mereka terhadap Bait Tuhan. Dia menegur orang-orang atas ketidaktertarikan mereka untuk menyembah Allah dan memanggil mereka untuk bertobat dan melakukan pembaharuan rohani. Ketika umat menanggapi secara positif dan memulai pekerjaan pembangunan kembali, Hagai menyemangati mereka dengan janji akan kehadiran dan pertolongan Allah yang terus-menerus.</w:t>
      </w:r>
    </w:p>
    <w:p>
      <w:pPr/>
      <w:r>
        <w:rPr>
          <w:lang w:val="id_ID" w:bidi="id_ID"/>
        </w:rPr>
      </w:r>
      <w:r>
        <w:rPr>
          <w:lang w:val="id_ID" w:bidi="id_ID"/>
        </w:rPr>
        <w:t>Hagai mengajak orang-orang Yerusalem untuk beribadah dengan tulus, percaya pada firman Allah, menjaga kekudusan pribadi, dan menaati kepemimpinan yang ditetapkan secara ilahi. Hagai menekankan kehadiran Roh Allah yang tetap ada (</w:t>
      </w:r>
      <w:r>
        <w:rPr>
          <w:lang w:val="id_ID" w:bidi="id_ID"/>
        </w:rPr>
        <w:t>Hag. 1:13–14</w:t>
      </w:r>
      <w:r>
        <w:rPr>
          <w:lang w:val="id_ID" w:bidi="id_ID"/>
        </w:rPr>
        <w:t xml:space="preserve">; </w:t>
      </w:r>
      <w:r>
        <w:rPr>
          <w:lang w:val="id_ID" w:bidi="id_ID"/>
        </w:rPr>
        <w:t>2:4–5</w:t>
      </w:r>
      <w:r>
        <w:rPr>
          <w:lang w:val="id_ID" w:bidi="id_ID"/>
        </w:rPr>
        <w:t>), sebuah tema yang juga dibagikan dengan Zakharia yang berada dalam satu masa yang sama dengannya (</w:t>
      </w:r>
      <w:r>
        <w:rPr>
          <w:lang w:val="id_ID" w:bidi="id_ID"/>
        </w:rPr>
        <w:t>Za. 1:16</w:t>
      </w:r>
      <w:r>
        <w:rPr>
          <w:lang w:val="id_ID" w:bidi="id_ID"/>
        </w:rPr>
        <w:t xml:space="preserve">; </w:t>
      </w:r>
      <w:r>
        <w:rPr>
          <w:lang w:val="id_ID" w:bidi="id_ID"/>
        </w:rPr>
        <w:t>8:23</w:t>
      </w:r>
      <w:r>
        <w:rPr>
          <w:lang w:val="id_ID" w:bidi="id_ID"/>
        </w:rPr>
        <w:t xml:space="preserve">; lihat juga </w:t>
      </w:r>
      <w:r>
        <w:rPr>
          <w:lang w:val="id_ID" w:bidi="id_ID"/>
        </w:rPr>
        <w:t>Yeh. 37:27–28</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