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Petrus</w:t>
      </w:r>
      <w:r>
        <w:rPr>
          <w:lang w:val="id_ID" w:bidi="id_ID"/>
        </w:rPr>
      </w:r>
    </w:p>
    <w:p>
      <w:pPr/>
      <w:r>
        <w:rPr>
          <w:lang w:val="id_ID" w:bidi="id_ID"/>
        </w:rPr>
      </w:r>
      <w:r>
        <w:rPr>
          <w:lang w:val="id_ID" w:bidi="id_ID"/>
        </w:rPr>
        <w:t>Surat Pertama Petrus berfokus untuk mendorong orang Kristen agar tetap setia di tengah tekanan akibat penganiayaan. Orang-orang percaya yang menjadi tujuan penulisan surat Petrus sedang menghadapi ujian yang sangat berat bagaikan "perapian yang membara." Budaya di sekitar mereka mencemooh iman mereka, mengkritik moralitas mereka, dan mengejek pengharapan mereka. Petrus mengajak para pembaca untuk menanggapi tekanan ini dengan memperbarui komitmen mereka untuk menghidupi kasih karunia Allah, baik untuk menyenangkan Allah maupun untuk bersaksi tentang-Nya.</w:t>
      </w:r>
    </w:p>
    <w:p>
      <w:pPr>
        <w:pStyle w:val="Heading2"/>
      </w:pPr>
      <w:r>
        <w:rPr>
          <w:lang w:val="id_ID" w:bidi="id_ID"/>
        </w:rPr>
        <w:t xml:space="preserve">Latar Belakang </w:t>
      </w:r>
    </w:p>
    <w:p>
      <w:pPr/>
      <w:r>
        <w:rPr>
          <w:lang w:val="id_ID" w:bidi="id_ID"/>
        </w:rPr>
      </w:r>
      <w:r>
        <w:rPr>
          <w:lang w:val="id_ID" w:bidi="id_ID"/>
        </w:rPr>
        <w:t>Banyak orang di dunia kuno menganggap orang Kristen sebagai kelompok yang aneh, penuh takhayul, dan tidak setia kepada masyarakat Romawi. Orang Kristen berkumpul secara rahasia, melakukan ritual yang dianggap aneh (seperti Perjamuan Kudus, yang sering disalahpahami sebagai melibatkan pengorbanan darah), dan menunjukkan gaya hidup yang bertentangan dengan budaya umum. Mereka sering menolak untuk bertugas dalam ketentaraan Romawi karena tidak mau bersumpah setia kepada kaisar. Karena penolakan mereka untuk mengikuti budaya yang berlaku, orang Kristen sering didiskriminasi, dituduh melakukan kesalahan, dan dibawa ke pengadilan dengan tuduhan palsu.</w:t>
      </w:r>
    </w:p>
    <w:p>
      <w:pPr/>
      <w:r>
        <w:rPr>
          <w:lang w:val="id_ID" w:bidi="id_ID"/>
        </w:rPr>
      </w:r>
      <w:r>
        <w:rPr>
          <w:lang w:val="id_ID" w:bidi="id_ID"/>
        </w:rPr>
        <w:t>Inilah situasi yang dibahas dalam 1 Petrus. Orang percaya sedang mengalami cobaan yang sangat berat (</w:t>
      </w:r>
      <w:r>
        <w:rPr>
          <w:lang w:val="id_ID" w:bidi="id_ID"/>
        </w:rPr>
        <w:t>1Ptr. 1:6</w:t>
      </w:r>
      <w:r>
        <w:rPr>
          <w:lang w:val="id_ID" w:bidi="id_ID"/>
        </w:rPr>
        <w:t xml:space="preserve">; </w:t>
      </w:r>
      <w:r>
        <w:rPr>
          <w:lang w:val="id_ID" w:bidi="id_ID"/>
        </w:rPr>
        <w:t>4:12</w:t>
      </w:r>
      <w:r>
        <w:rPr>
          <w:lang w:val="id_ID" w:bidi="id_ID"/>
        </w:rPr>
        <w:t>), dan kelompok lain mengatakan hal-hal buruk tentang mereka (</w:t>
      </w:r>
      <w:r>
        <w:rPr>
          <w:lang w:val="id_ID" w:bidi="id_ID"/>
        </w:rPr>
        <w:t>1Ptr. 4:4</w:t>
      </w:r>
      <w:r>
        <w:rPr>
          <w:lang w:val="id_ID" w:bidi="id_ID"/>
        </w:rPr>
        <w:t xml:space="preserve">; lihat </w:t>
      </w:r>
      <w:r>
        <w:rPr>
          <w:lang w:val="id_ID" w:bidi="id_ID"/>
        </w:rPr>
        <w:t>1Ptr. 3:16</w:t>
      </w:r>
      <w:r>
        <w:rPr>
          <w:lang w:val="id_ID" w:bidi="id_ID"/>
        </w:rPr>
        <w:t>). Para pengikut Kristus tergoda untuk membalas dengan cara yang sama dan menanggapi kata-kata kasar dengan kata-kata kasar. Mereka juga tergoda untuk mengkompromikan gaya hidup saleh mereka karena kesedihan yang ditimbulkannya.</w:t>
      </w:r>
    </w:p>
    <w:p>
      <w:pPr/>
      <w:r>
        <w:rPr>
          <w:lang w:val="id_ID" w:bidi="id_ID"/>
        </w:rPr>
      </w:r>
      <w:r>
        <w:rPr>
          <w:lang w:val="id_ID" w:bidi="id_ID"/>
        </w:rPr>
        <w:t xml:space="preserve">Petrus sangat menyadari godaan-godaan ini, sehingga suratnya mendorong para umat percaya untuk memandang tuduhan dan perlakuan tidak adil sebagai kesempatan untuk bersaksi tentang Yesus Kristus. Dengan mengikuti Tuhan mereka sendiri, yang memberi teladan hidup di hadapan semua orang dan menolak untuk mencaci mereka yang mencacinya, orang Kristen dapat mempraktikkan penginjilan sejati melalui gaya hidup </w:t>
      </w:r>
    </w:p>
    <w:p>
      <w:pPr>
        <w:pStyle w:val="Heading2"/>
      </w:pPr>
      <w:r>
        <w:rPr>
          <w:lang w:val="id_ID" w:bidi="id_ID"/>
        </w:rPr>
        <w:t>Ikhtisar</w:t>
      </w:r>
    </w:p>
    <w:p>
      <w:pPr/>
      <w:r>
        <w:rPr>
          <w:lang w:val="id_ID" w:bidi="id_ID"/>
        </w:rPr>
      </w:r>
      <w:r>
        <w:rPr>
          <w:lang w:val="id_ID" w:bidi="id_ID"/>
        </w:rPr>
        <w:t>Setelah pembukaan yang khas untuk sebuah surat (</w:t>
      </w:r>
      <w:r>
        <w:rPr>
          <w:lang w:val="id_ID" w:bidi="id_ID"/>
        </w:rPr>
        <w:t>1Ptr. 1:1–2</w:t>
      </w:r>
      <w:r>
        <w:rPr>
          <w:lang w:val="id_ID" w:bidi="id_ID"/>
        </w:rPr>
        <w:t>), Petrus mendorong para pembacanya di bagian pertama (</w:t>
      </w:r>
      <w:r>
        <w:rPr>
          <w:lang w:val="id_ID" w:bidi="id_ID"/>
        </w:rPr>
        <w:t>1Ptr. 1:3–2:12</w:t>
      </w:r>
      <w:r>
        <w:rPr>
          <w:lang w:val="id_ID" w:bidi="id_ID"/>
        </w:rPr>
        <w:t>) untuk melihat penderitaan sementara saat ini sebagai penguatan iman dan persiapan untuk mereka menerima keselamatan (</w:t>
      </w:r>
      <w:r>
        <w:rPr>
          <w:lang w:val="id_ID" w:bidi="id_ID"/>
        </w:rPr>
        <w:t>1Ptr. 1:3–9</w:t>
      </w:r>
      <w:r>
        <w:rPr>
          <w:lang w:val="id_ID" w:bidi="id_ID"/>
        </w:rPr>
        <w:t>). Keselamatan ini begitu agung sehingga para nabi menubuatkannya dan malaikat menyelidikinya (</w:t>
      </w:r>
      <w:r>
        <w:rPr>
          <w:lang w:val="id_ID" w:bidi="id_ID"/>
        </w:rPr>
        <w:t>1Ptr. 1:10–12</w:t>
      </w:r>
      <w:r>
        <w:rPr>
          <w:lang w:val="id_ID" w:bidi="id_ID"/>
        </w:rPr>
        <w:t>). Anugerah keselamatan ini seharusnya menghasilkan kehidupan yang kudus sebagai pengakuan akan harga yang Allah bayar untuk keselamatan kita (</w:t>
      </w:r>
      <w:r>
        <w:rPr>
          <w:lang w:val="id_ID" w:bidi="id_ID"/>
        </w:rPr>
        <w:t>1Ptr. 1:13–21</w:t>
      </w:r>
      <w:r>
        <w:rPr>
          <w:lang w:val="id_ID" w:bidi="id_ID"/>
        </w:rPr>
        <w:t>). Bagian pertama diakhiri dengan seruan untuk mengasihi dan sabar terhadap sesama orang Kristen (</w:t>
      </w:r>
      <w:r>
        <w:rPr>
          <w:lang w:val="id_ID" w:bidi="id_ID"/>
        </w:rPr>
        <w:t>1Ptr. 1:22–2:3</w:t>
      </w:r>
      <w:r>
        <w:rPr>
          <w:lang w:val="id_ID" w:bidi="id_ID"/>
        </w:rPr>
        <w:t>) dan pengingat tentang status kita sebagai umat Perjanjian Baru dari Allah (</w:t>
      </w:r>
      <w:r>
        <w:rPr>
          <w:lang w:val="id_ID" w:bidi="id_ID"/>
        </w:rPr>
        <w:t>1Ptr. 2:4–12</w:t>
      </w:r>
      <w:r>
        <w:rPr>
          <w:lang w:val="id_ID" w:bidi="id_ID"/>
        </w:rPr>
        <w:t>).</w:t>
      </w:r>
    </w:p>
    <w:p>
      <w:pPr/>
      <w:r>
        <w:rPr>
          <w:lang w:val="id_ID" w:bidi="id_ID"/>
        </w:rPr>
      </w:r>
      <w:r>
        <w:rPr>
          <w:lang w:val="id_ID" w:bidi="id_ID"/>
        </w:rPr>
        <w:t>Bagian kedua dari surat ini (</w:t>
      </w:r>
      <w:r>
        <w:rPr>
          <w:lang w:val="id_ID" w:bidi="id_ID"/>
        </w:rPr>
        <w:t>1Ptr. 2:13–3:12</w:t>
      </w:r>
      <w:r>
        <w:rPr>
          <w:lang w:val="id_ID" w:bidi="id_ID"/>
        </w:rPr>
        <w:t>) memberikan nasihat kepada orang Kristen untuk hidup di bawah otoritas yang sah sebagai saksi Kristus bagi dunia yang penuh permusuhan. Orang Kristen diharapkan menerima otoritas pemerintah (</w:t>
      </w:r>
      <w:r>
        <w:rPr>
          <w:lang w:val="id_ID" w:bidi="id_ID"/>
        </w:rPr>
        <w:t>1Ptr. 2:13–17</w:t>
      </w:r>
      <w:r>
        <w:rPr>
          <w:lang w:val="id_ID" w:bidi="id_ID"/>
        </w:rPr>
        <w:t>), budak Kristen diharapkan menerima otoritas tuan mereka (</w:t>
      </w:r>
      <w:r>
        <w:rPr>
          <w:lang w:val="id_ID" w:bidi="id_ID"/>
        </w:rPr>
        <w:t>1Ptr. 2:18–25</w:t>
      </w:r>
      <w:r>
        <w:rPr>
          <w:lang w:val="id_ID" w:bidi="id_ID"/>
        </w:rPr>
        <w:t>), dan istri Kristen diharapkan menerima otoritas suami mereka (</w:t>
      </w:r>
      <w:r>
        <w:rPr>
          <w:lang w:val="id_ID" w:bidi="id_ID"/>
        </w:rPr>
        <w:t>1Ptr. 3:1–6</w:t>
      </w:r>
      <w:r>
        <w:rPr>
          <w:lang w:val="id_ID" w:bidi="id_ID"/>
        </w:rPr>
        <w:t>). Sementara itu, suami diharapkan menghormati istri mereka (</w:t>
      </w:r>
      <w:r>
        <w:rPr>
          <w:lang w:val="id_ID" w:bidi="id_ID"/>
        </w:rPr>
        <w:t>1Ptr. 3:7</w:t>
      </w:r>
      <w:r>
        <w:rPr>
          <w:lang w:val="id_ID" w:bidi="id_ID"/>
        </w:rPr>
        <w:t>). Bagian ini diakhiri dengan nasihat umum untuk perilaku yang menyenangkan hati Allah (</w:t>
      </w:r>
      <w:r>
        <w:rPr>
          <w:lang w:val="id_ID" w:bidi="id_ID"/>
        </w:rPr>
        <w:t>1Ptr. 3:8–12</w:t>
      </w:r>
      <w:r>
        <w:rPr>
          <w:lang w:val="id_ID" w:bidi="id_ID"/>
        </w:rPr>
        <w:t>).</w:t>
      </w:r>
    </w:p>
    <w:p>
      <w:pPr/>
      <w:r>
        <w:rPr>
          <w:lang w:val="id_ID" w:bidi="id_ID"/>
        </w:rPr>
      </w:r>
      <w:r>
        <w:rPr>
          <w:lang w:val="id_ID" w:bidi="id_ID"/>
        </w:rPr>
        <w:t>Bagian ketiga (</w:t>
      </w:r>
      <w:r>
        <w:rPr>
          <w:lang w:val="id_ID" w:bidi="id_ID"/>
        </w:rPr>
        <w:t>1Ptr. 3:13–4:11</w:t>
      </w:r>
      <w:r>
        <w:rPr>
          <w:lang w:val="id_ID" w:bidi="id_ID"/>
        </w:rPr>
        <w:t>) dimulai dengan nasehat untuk menanggapi tekanan sosial dengan perilaku yang mulia dan penuh hormat, bahkan ketika hal itu mengakibatkan ketidakadilan (</w:t>
      </w:r>
      <w:r>
        <w:rPr>
          <w:lang w:val="id_ID" w:bidi="id_ID"/>
        </w:rPr>
        <w:t>1Ptr. 3:13–17</w:t>
      </w:r>
      <w:r>
        <w:rPr>
          <w:lang w:val="id_ID" w:bidi="id_ID"/>
        </w:rPr>
        <w:t>). Petrus mengingatkan para pembacanya bahwa harapan akan penebusan akhir terjamin karena kehidupan, kematian, kebangkitan, dan kenaikan Kristus (</w:t>
      </w:r>
      <w:r>
        <w:rPr>
          <w:lang w:val="id_ID" w:bidi="id_ID"/>
        </w:rPr>
        <w:t>1Ptr. 3:18–22</w:t>
      </w:r>
      <w:r>
        <w:rPr>
          <w:lang w:val="id_ID" w:bidi="id_ID"/>
        </w:rPr>
        <w:t>). Petrus memperbarui seruannya untuk meninggalkan cara dan nilai-nilai duniawi (</w:t>
      </w:r>
      <w:r>
        <w:rPr>
          <w:lang w:val="id_ID" w:bidi="id_ID"/>
        </w:rPr>
        <w:t>1Ptr. 4:1–6</w:t>
      </w:r>
      <w:r>
        <w:rPr>
          <w:lang w:val="id_ID" w:bidi="id_ID"/>
        </w:rPr>
        <w:t>) dan menyimpulkan dengan berbagai nasihat (</w:t>
      </w:r>
      <w:r>
        <w:rPr>
          <w:lang w:val="id_ID" w:bidi="id_ID"/>
        </w:rPr>
        <w:t>1Ptr. 4:7–11</w:t>
      </w:r>
      <w:r>
        <w:rPr>
          <w:lang w:val="id_ID" w:bidi="id_ID"/>
        </w:rPr>
        <w:t>).</w:t>
      </w:r>
    </w:p>
    <w:p>
      <w:pPr/>
      <w:r>
        <w:rPr>
          <w:lang w:val="id_ID" w:bidi="id_ID"/>
        </w:rPr>
      </w:r>
      <w:r>
        <w:rPr>
          <w:lang w:val="id_ID" w:bidi="id_ID"/>
        </w:rPr>
        <w:t>Bagian keempat dari surat tersebut (</w:t>
      </w:r>
      <w:r>
        <w:rPr>
          <w:lang w:val="id_ID" w:bidi="id_ID"/>
        </w:rPr>
        <w:t>1Ptr. 4:12–5:11</w:t>
      </w:r>
      <w:r>
        <w:rPr>
          <w:lang w:val="id_ID" w:bidi="id_ID"/>
        </w:rPr>
        <w:t>) dimulai dengan ajakan terakhir untuk tetap teguh di tengah penderitaan (</w:t>
      </w:r>
      <w:r>
        <w:rPr>
          <w:lang w:val="id_ID" w:bidi="id_ID"/>
        </w:rPr>
        <w:t>1Ptr. 4:12–19</w:t>
      </w:r>
      <w:r>
        <w:rPr>
          <w:lang w:val="id_ID" w:bidi="id_ID"/>
        </w:rPr>
        <w:t>). Petrus kemudian menyimpulkan dengan pesan kepada para penatua (</w:t>
      </w:r>
      <w:r>
        <w:rPr>
          <w:lang w:val="id_ID" w:bidi="id_ID"/>
        </w:rPr>
        <w:t>1Ptr. 5:1–4</w:t>
      </w:r>
      <w:r>
        <w:rPr>
          <w:lang w:val="id_ID" w:bidi="id_ID"/>
        </w:rPr>
        <w:t>), para pemuda (</w:t>
      </w:r>
      <w:r>
        <w:rPr>
          <w:lang w:val="id_ID" w:bidi="id_ID"/>
        </w:rPr>
        <w:t>1Ptr. 5:5</w:t>
      </w:r>
      <w:r>
        <w:rPr>
          <w:lang w:val="id_ID" w:bidi="id_ID"/>
        </w:rPr>
        <w:t>), dan gereja secara umum (</w:t>
      </w:r>
      <w:r>
        <w:rPr>
          <w:lang w:val="id_ID" w:bidi="id_ID"/>
        </w:rPr>
        <w:t>1. Ptr. 5:5–11</w:t>
      </w:r>
      <w:r>
        <w:rPr>
          <w:lang w:val="id_ID" w:bidi="id_ID"/>
        </w:rPr>
        <w:t>). Surat tersebut diakhiri dengan salam penutup yang lazim (</w:t>
      </w:r>
      <w:r>
        <w:rPr>
          <w:lang w:val="id_ID" w:bidi="id_ID"/>
        </w:rPr>
        <w:t>1Ptr. 5:12–14</w:t>
      </w:r>
      <w:r>
        <w:rPr>
          <w:lang w:val="id_ID" w:bidi="id_ID"/>
        </w:rPr>
        <w:t>).</w:t>
      </w:r>
    </w:p>
    <w:p>
      <w:pPr>
        <w:pStyle w:val="Heading2"/>
      </w:pPr>
      <w:r>
        <w:rPr>
          <w:lang w:val="id_ID" w:bidi="id_ID"/>
        </w:rPr>
        <w:t>Penulis dan Penerima</w:t>
      </w:r>
    </w:p>
    <w:p>
      <w:pPr/>
      <w:r>
        <w:rPr>
          <w:lang w:val="id_ID" w:bidi="id_ID"/>
        </w:rPr>
      </w:r>
      <w:r>
        <w:rPr>
          <w:lang w:val="id_ID" w:bidi="id_ID"/>
        </w:rPr>
        <w:t>Ayat pembuka surat ini mengidentifikasi penulis sebagai rasul Petrus dan penerimanya adalah "Orang-orang pilihan Allah" yang tinggal di "provinsi Pontus, Galatia, Kapadokia, Asia, dan Bitinia". Provinsi-provinsi Romawi ini terletak di bagian utara Asia Kecil, semenanjung yang sebagian besar menjadi wilayah Turki sekarang. Kita tidak memiliki catatan tentang kunjungan Petrus ke daerah ini, dan surat ini tidak menunjukkan adanya kunjungan tersebut. Faktanya, kita memiliki sedikit informasi tentang pergerakan dan aktivitas Petrus setelah hari-hari awal pelayanannya di Yerusalem dan Yudea (</w:t>
      </w:r>
      <w:r>
        <w:rPr>
          <w:lang w:val="id_ID" w:bidi="id_ID"/>
        </w:rPr>
        <w:t>Kisah 1:1–12:25</w:t>
      </w:r>
      <w:r>
        <w:rPr>
          <w:lang w:val="id_ID" w:bidi="id_ID"/>
        </w:rPr>
        <w:t>). Lukas memberi tahu kita bahwa setelah dibebaskan secara ajaib dari penjara, Petrus "pergi ke tempat lain" (</w:t>
      </w:r>
      <w:r>
        <w:rPr>
          <w:lang w:val="id_ID" w:bidi="id_ID"/>
        </w:rPr>
        <w:t>Kisah 12:17</w:t>
      </w:r>
      <w:r>
        <w:rPr>
          <w:lang w:val="id_ID" w:bidi="id_ID"/>
        </w:rPr>
        <w:t>). Meskipun banyak spekulasi, kita tidak tahu ke mana dia pergi. Petrus kembali untuk menghadiri Sidang di Yerusalem (</w:t>
      </w:r>
      <w:r>
        <w:rPr>
          <w:lang w:val="id_ID" w:bidi="id_ID"/>
        </w:rPr>
        <w:t>Kisah 15:1–41</w:t>
      </w:r>
      <w:r>
        <w:rPr>
          <w:lang w:val="id_ID" w:bidi="id_ID"/>
        </w:rPr>
        <w:t xml:space="preserve">; 49~50 M) dan tampaknya menghabiskan beberapa waktu melayani di Korintus (lihat </w:t>
      </w:r>
      <w:r>
        <w:rPr>
          <w:lang w:val="id_ID" w:bidi="id_ID"/>
        </w:rPr>
        <w:t>1Kor. 1:12</w:t>
      </w:r>
      <w:r>
        <w:rPr>
          <w:lang w:val="id_ID" w:bidi="id_ID"/>
        </w:rPr>
        <w:t xml:space="preserve">; </w:t>
      </w:r>
      <w:r>
        <w:rPr>
          <w:lang w:val="id_ID" w:bidi="id_ID"/>
        </w:rPr>
        <w:t>9:5</w:t>
      </w:r>
      <w:r>
        <w:rPr>
          <w:lang w:val="id_ID" w:bidi="id_ID"/>
        </w:rPr>
        <w:t>). Dia juga berada di Antiokhia pada suatu saat (</w:t>
      </w:r>
      <w:r>
        <w:rPr>
          <w:lang w:val="id_ID" w:bidi="id_ID"/>
        </w:rPr>
        <w:t>Gal. 2:11–16</w:t>
      </w:r>
      <w:r>
        <w:rPr>
          <w:lang w:val="id_ID" w:bidi="id_ID"/>
        </w:rPr>
        <w:t>). Tradisi Kristen menempatkan Petrus di Roma pada akhir hidupnya, di mana dia mengalami kematian sebagai martir di tangan kaisar Nero (mungkin pada 64 atau 65 M).</w:t>
      </w:r>
    </w:p>
    <w:p>
      <w:pPr>
        <w:pStyle w:val="Heading2"/>
      </w:pPr>
      <w:r>
        <w:rPr>
          <w:lang w:val="id_ID" w:bidi="id_ID"/>
        </w:rPr>
        <w:t>Tempat dan Tanggal Penulisan</w:t>
      </w:r>
    </w:p>
    <w:p>
      <w:pPr/>
      <w:r>
        <w:rPr>
          <w:lang w:val="id_ID" w:bidi="id_ID"/>
        </w:rPr>
      </w:r>
      <w:r>
        <w:rPr>
          <w:lang w:val="id_ID" w:bidi="id_ID"/>
        </w:rPr>
        <w:t>Rasul Petrus tampaknya berada di Roma ketika dia menulis surat ini. “kawanmu yang terpilih yang di Babilon” (</w:t>
      </w:r>
      <w:r>
        <w:rPr>
          <w:lang w:val="id_ID" w:bidi="id_ID"/>
        </w:rPr>
        <w:t>1Ptr. 5:13</w:t>
      </w:r>
      <w:r>
        <w:rPr>
          <w:lang w:val="id_ID" w:bidi="id_ID"/>
        </w:rPr>
        <w:t xml:space="preserve">) hampir pasti merujuk pada gereja di Roma. Kota kuno Babel, yang terkenal dari kitab-kitab Perjanjian Lama, pada zaman Petrus (abad pertama Masehi) sudah kecil dan tidak berpengaruh, sehingga akan mengejutkan jika Petrus pernah melakukan perjalanan sejauh itu ke timur. Namun, karena kota kuno Babel sangat dominan pada tahun 600-an–500-an SM, nama tersebut menjadi simbol pusat kekuasaan dunia dan pengaruh budaya. Kitab Wahyu juga menggunakan Babel sebagai simbol untuk Roma (lihat </w:t>
      </w:r>
      <w:r>
        <w:rPr>
          <w:lang w:val="id_ID" w:bidi="id_ID"/>
        </w:rPr>
        <w:t>Why. 17:5</w:t>
      </w:r>
      <w:r>
        <w:rPr>
          <w:lang w:val="id_ID" w:bidi="id_ID"/>
        </w:rPr>
        <w:t xml:space="preserve">), dan Petrus mungkin melakukan hal yang sama. Jika Petrus menulis surat ini dari Roma, maka kemungkinan besar surat ini ditulis menjelang akhir hidupnya. Dugaan ini dikonfirmasi oleh kehadiran Markus bersama Petrus (lihat </w:t>
      </w:r>
      <w:r>
        <w:rPr>
          <w:lang w:val="id_ID" w:bidi="id_ID"/>
        </w:rPr>
        <w:t>1Ptr. 5:13</w:t>
      </w:r>
      <w:r>
        <w:rPr>
          <w:lang w:val="id_ID" w:bidi="id_ID"/>
        </w:rPr>
        <w:t>). Tradisi Kristen menempatkan Markus di Roma bersama Petrus pada akhir tahun 50-an dan awal 60-an Masehi. Kita dapat menyimpulkan bahwa Petrus menulis surat ini dari Roma pada awal tahun 60-an Masehi.</w:t>
      </w:r>
    </w:p>
    <w:p>
      <w:pPr>
        <w:pStyle w:val="Heading2"/>
      </w:pPr>
      <w:r>
        <w:rPr>
          <w:lang w:val="id_ID" w:bidi="id_ID"/>
        </w:rPr>
        <w:t>Alasan Penulisan</w:t>
      </w:r>
    </w:p>
    <w:p>
      <w:pPr/>
      <w:r>
        <w:rPr>
          <w:lang w:val="id_ID" w:bidi="id_ID"/>
        </w:rPr>
      </w:r>
      <w:r>
        <w:rPr>
          <w:lang w:val="id_ID" w:bidi="id_ID"/>
        </w:rPr>
        <w:t>Surat Petrus ditulis sebagai tanggapan terhadap cobaan berat yang dialami oleh orang Kristen di wilayah utara Asia Kecil. Terkadang, ada usaha untuk mengaitkan situasi dan penanggalan 1 Petrus dengan penganiayaan oleh pejabat yang resmi. Namun, surat tersebut tidak menunjukkan bahwa orang Kristen sedang menghadapi program penganiayaan resmi yang didukung negara. Seringkali, tekanan berasal dari masyarakat umum, kadang-kadang dengan bantuan dan dukungan dari pejabat setempat.</w:t>
      </w:r>
    </w:p>
    <w:p>
      <w:pPr>
        <w:pStyle w:val="Heading2"/>
      </w:pPr>
      <w:r>
        <w:rPr>
          <w:lang w:val="id_ID" w:bidi="id_ID"/>
        </w:rPr>
        <w:t>Makna dan Pesan</w:t>
      </w:r>
    </w:p>
    <w:p>
      <w:pPr/>
      <w:r>
        <w:rPr>
          <w:lang w:val="id_ID" w:bidi="id_ID"/>
        </w:rPr>
      </w:r>
      <w:r>
        <w:rPr>
          <w:lang w:val="id_ID" w:bidi="id_ID"/>
        </w:rPr>
        <w:t>Petrus pertama-tama mendorong orang Kristen untuk mempertahankan kehidupan yang kudus di tengah tekanan yang dilakukan oleh lingkungan non-Kristen, dan gerakan anti-Kristen, di mana mereka tinggal. Petrus menyajikan tiga gagasan utama. Pertama, orang percaya harus memahami bahwa kita telah menerima keselamatan yang dijanjikan Allah melalui para nabi-Nya dan yang "ingin diketahui" oleh para malaikat (</w:t>
      </w:r>
      <w:r>
        <w:rPr>
          <w:lang w:val="id_ID" w:bidi="id_ID"/>
        </w:rPr>
        <w:t>1Ptr. 1:12</w:t>
      </w:r>
      <w:r>
        <w:rPr>
          <w:lang w:val="id_ID" w:bidi="id_ID"/>
        </w:rPr>
        <w:t xml:space="preserve">; lihat </w:t>
      </w:r>
      <w:r>
        <w:rPr>
          <w:lang w:val="id_ID" w:bidi="id_ID"/>
        </w:rPr>
        <w:t>1Ptr. 1:5</w:t>
      </w:r>
      <w:r>
        <w:rPr>
          <w:lang w:val="id_ID" w:bidi="id_ID"/>
        </w:rPr>
        <w:t xml:space="preserve">, </w:t>
      </w:r>
      <w:r>
        <w:rPr>
          <w:lang w:val="id_ID" w:bidi="id_ID"/>
        </w:rPr>
        <w:t>10</w:t>
      </w:r>
      <w:r>
        <w:rPr>
          <w:lang w:val="id_ID" w:bidi="id_ID"/>
        </w:rPr>
        <w:t>). Kita adalah anak-anak Allah sendiri (</w:t>
      </w:r>
      <w:r>
        <w:rPr>
          <w:lang w:val="id_ID" w:bidi="id_ID"/>
        </w:rPr>
        <w:t>1Ptr. 1:14</w:t>
      </w:r>
      <w:r>
        <w:rPr>
          <w:lang w:val="id_ID" w:bidi="id_ID"/>
        </w:rPr>
        <w:t>), dilahirkan kembali melalui firman Allah yang kuat (</w:t>
      </w:r>
      <w:r>
        <w:rPr>
          <w:lang w:val="id_ID" w:bidi="id_ID"/>
        </w:rPr>
        <w:t>1Ptr. 1:23</w:t>
      </w:r>
      <w:r>
        <w:rPr>
          <w:lang w:val="id_ID" w:bidi="id_ID"/>
        </w:rPr>
        <w:t>). Kita adalah batu-batu yang digunakan Allah untuk membangun sebuah bait suci rohani yang baru (</w:t>
      </w:r>
      <w:r>
        <w:rPr>
          <w:lang w:val="id_ID" w:bidi="id_ID"/>
        </w:rPr>
        <w:t>1Ptr. 2:5</w:t>
      </w:r>
      <w:r>
        <w:rPr>
          <w:lang w:val="id_ID" w:bidi="id_ID"/>
        </w:rPr>
        <w:t>) dan orang-orang pilihan yang dipanggil keluar dari kegelapan menuju terang (</w:t>
      </w:r>
      <w:r>
        <w:rPr>
          <w:lang w:val="id_ID" w:bidi="id_ID"/>
        </w:rPr>
        <w:t>1Ptr. 2:9–10</w:t>
      </w:r>
      <w:r>
        <w:rPr>
          <w:lang w:val="id_ID" w:bidi="id_ID"/>
        </w:rPr>
        <w:t>). Karena kita menikmati semua hak istimewa ini, kita telah menjadi orang asing dan pendatang di dunia ini (</w:t>
      </w:r>
      <w:r>
        <w:rPr>
          <w:lang w:val="id_ID" w:bidi="id_ID"/>
        </w:rPr>
        <w:t>1Ptr. 1:1</w:t>
      </w:r>
      <w:r>
        <w:rPr>
          <w:lang w:val="id_ID" w:bidi="id_ID"/>
        </w:rPr>
        <w:t xml:space="preserve">, </w:t>
      </w:r>
      <w:r>
        <w:rPr>
          <w:lang w:val="id_ID" w:bidi="id_ID"/>
        </w:rPr>
        <w:t>17</w:t>
      </w:r>
      <w:r>
        <w:rPr>
          <w:lang w:val="id_ID" w:bidi="id_ID"/>
        </w:rPr>
        <w:t xml:space="preserve">; </w:t>
      </w:r>
      <w:r>
        <w:rPr>
          <w:lang w:val="id_ID" w:bidi="id_ID"/>
        </w:rPr>
        <w:t>2:12</w:t>
      </w:r>
      <w:r>
        <w:rPr>
          <w:lang w:val="id_ID" w:bidi="id_ID"/>
        </w:rPr>
        <w:t>). Orang Kristen hidup di dunia tetapi tidak menjadi bagian dari dunia.</w:t>
      </w:r>
    </w:p>
    <w:p>
      <w:pPr/>
      <w:r>
        <w:rPr>
          <w:lang w:val="id_ID" w:bidi="id_ID"/>
        </w:rPr>
      </w:r>
      <w:r>
        <w:rPr>
          <w:lang w:val="id_ID" w:bidi="id_ID"/>
        </w:rPr>
        <w:t>Ide utama yang kedua adalah bahwa orang Kristen, sebagai umat Allah, perlu mengejar gaya hidup yang mencerminkan nilai-nilai surgawi, bukan nilai-nilai duniawi. Sebagai anak-anak Allah, orang Kristen perlu meniru Bapa mereka dan menjadi kudus, seperti Dia kudus (</w:t>
      </w:r>
      <w:r>
        <w:rPr>
          <w:lang w:val="id_ID" w:bidi="id_ID"/>
        </w:rPr>
        <w:t>1Ptr. 1:15–16</w:t>
      </w:r>
      <w:r>
        <w:rPr>
          <w:lang w:val="id_ID" w:bidi="id_ID"/>
        </w:rPr>
        <w:t>). Kita perlu saling mengasihi (</w:t>
      </w:r>
      <w:r>
        <w:rPr>
          <w:lang w:val="id_ID" w:bidi="id_ID"/>
        </w:rPr>
        <w:t>1Ptr. 1:22</w:t>
      </w:r>
      <w:r>
        <w:rPr>
          <w:lang w:val="id_ID" w:bidi="id_ID"/>
        </w:rPr>
        <w:t>) dan menghormati pemerintah. Petrus merangkum semua ini dalam panggilannya untuk “berbuat baik,” bahkan dan terutama kepada mereka yang menyalahgunakan dan menyebabkan kesulitan (</w:t>
      </w:r>
      <w:r>
        <w:rPr>
          <w:lang w:val="id_ID" w:bidi="id_ID"/>
        </w:rPr>
        <w:t>1Ptr. 3:16–17</w:t>
      </w:r>
      <w:r>
        <w:rPr>
          <w:lang w:val="id_ID" w:bidi="id_ID"/>
        </w:rPr>
        <w:t xml:space="preserve">; </w:t>
      </w:r>
      <w:r>
        <w:rPr>
          <w:lang w:val="id_ID" w:bidi="id_ID"/>
        </w:rPr>
        <w:t>4:19</w:t>
      </w:r>
      <w:r>
        <w:rPr>
          <w:lang w:val="id_ID" w:bidi="id_ID"/>
        </w:rPr>
        <w:t>).</w:t>
      </w:r>
    </w:p>
    <w:p>
      <w:pPr/>
      <w:r>
        <w:rPr>
          <w:lang w:val="id_ID" w:bidi="id_ID"/>
        </w:rPr>
      </w:r>
      <w:r>
        <w:rPr>
          <w:lang w:val="id_ID" w:bidi="id_ID"/>
        </w:rPr>
        <w:t>Ide utama yang ketiga adalah bahwa orang percaya telah menjadi umat yang kudus karena Kristus. Kematian dan kebangkitan Yesus menjadi dasar bagi identitas baru kita (</w:t>
      </w:r>
      <w:r>
        <w:rPr>
          <w:lang w:val="id_ID" w:bidi="id_ID"/>
        </w:rPr>
        <w:t>1Ptr. 1:18–19</w:t>
      </w:r>
      <w:r>
        <w:rPr>
          <w:lang w:val="id_ID" w:bidi="id_ID"/>
        </w:rPr>
        <w:t xml:space="preserve">; </w:t>
      </w:r>
      <w:r>
        <w:rPr>
          <w:lang w:val="id_ID" w:bidi="id_ID"/>
        </w:rPr>
        <w:t>3:18</w:t>
      </w:r>
      <w:r>
        <w:rPr>
          <w:lang w:val="id_ID" w:bidi="id_ID"/>
        </w:rPr>
        <w:t>), dan kemenangannya atas kekuatan jahat memberi kita harapan dan keyakinan penuh (</w:t>
      </w:r>
      <w:r>
        <w:rPr>
          <w:lang w:val="id_ID" w:bidi="id_ID"/>
        </w:rPr>
        <w:t>1Ptr. 1:3–9</w:t>
      </w:r>
      <w:r>
        <w:rPr>
          <w:lang w:val="id_ID" w:bidi="id_ID"/>
        </w:rPr>
        <w:t xml:space="preserve">; </w:t>
      </w:r>
      <w:r>
        <w:rPr>
          <w:lang w:val="id_ID" w:bidi="id_ID"/>
        </w:rPr>
        <w:t>3:19–22</w:t>
      </w:r>
      <w:r>
        <w:rPr>
          <w:lang w:val="id_ID" w:bidi="id_ID"/>
        </w:rPr>
        <w:t>). Kristus menyediakan segala sesuatu untuk keselamatan dan kekudusan kita serta memberikan contoh untuk kita ikuti. Kristus tidak membalas ketika dia dikritik, dianiaya, dan bahkan disalib (</w:t>
      </w:r>
      <w:r>
        <w:rPr>
          <w:lang w:val="id_ID" w:bidi="id_ID"/>
        </w:rPr>
        <w:t>1Ptr. 2:21–25</w:t>
      </w:r>
      <w:r>
        <w:rPr>
          <w:lang w:val="id_ID" w:bidi="id_ID"/>
        </w:rPr>
        <w:t>). Kita harus mengikuti jejaknya, menolak untuk membalas, dan menggunakan pencobaan-pencobaan kita alami sebagai kesempatan untuk bersaksi tentang anugerah dan kuasa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