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2PE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Petrus</w:t>
      </w:r>
      <w:r>
        <w:rPr>
          <w:lang w:val="id_ID" w:bidi="id_ID"/>
        </w:rPr>
      </w:r>
    </w:p>
    <w:p>
      <w:pPr/>
      <w:r>
        <w:rPr>
          <w:lang w:val="id_ID" w:bidi="id_ID"/>
        </w:rPr>
      </w:r>
      <w:r>
        <w:rPr>
          <w:lang w:val="id_ID" w:bidi="id_ID"/>
        </w:rPr>
        <w:t>Banyak pandangan dunia, perspektif religius, dan nilai-nilai budaya bersaing untuk mendapatkan perhatian. Surat dua Petrus mendesak untuk bertumbuh dalam anugerah dari Kristus dan memperingatkan agar tidak mengkompromikan iman Kristen dengan mencampurnya dengan ide-ide yang asing bagi Kekristenan.</w:t>
      </w:r>
    </w:p>
    <w:p>
      <w:pPr>
        <w:pStyle w:val="Heading2"/>
      </w:pPr>
      <w:r>
        <w:rPr>
          <w:lang w:val="id_ID" w:bidi="id_ID"/>
        </w:rPr>
        <w:t>Latar Belakang</w:t>
      </w:r>
    </w:p>
    <w:p>
      <w:pPr/>
      <w:r>
        <w:rPr>
          <w:lang w:val="id_ID" w:bidi="id_ID"/>
        </w:rPr>
      </w:r>
      <w:r>
        <w:rPr>
          <w:lang w:val="id_ID" w:bidi="id_ID"/>
        </w:rPr>
        <w:t>Kemungkinan besar, 2 Petrus ditulis kepada kelompok orang Kristen yang sama seperti pada 1 Petrus (</w:t>
      </w:r>
      <w:r>
        <w:rPr>
          <w:lang w:val="id_ID" w:bidi="id_ID"/>
        </w:rPr>
        <w:t>1Ptr. 1:1</w:t>
      </w:r>
      <w:r>
        <w:rPr>
          <w:lang w:val="id_ID" w:bidi="id_ID"/>
        </w:rPr>
        <w:t xml:space="preserve">; lihat </w:t>
      </w:r>
      <w:r>
        <w:rPr>
          <w:lang w:val="id_ID" w:bidi="id_ID"/>
        </w:rPr>
        <w:t>2Ptr. 3:1</w:t>
      </w:r>
      <w:r>
        <w:rPr>
          <w:lang w:val="id_ID" w:bidi="id_ID"/>
        </w:rPr>
        <w:t>). Kita tidak tahu apakah Petrus pernah mengunjungi Asia Kecil—Perjanjian Baru memberikan sedikit informasi tentang kegiatannya setelah ia meninggalkan Yerusalem sekitar tahun 44 M (</w:t>
      </w:r>
      <w:r>
        <w:rPr>
          <w:lang w:val="id_ID" w:bidi="id_ID"/>
        </w:rPr>
        <w:t>Kisah 12:16–17</w:t>
      </w:r>
      <w:r>
        <w:rPr>
          <w:lang w:val="id_ID" w:bidi="id_ID"/>
        </w:rPr>
        <w:t>). Kita tahu bahwa Petrus berada di Roma pada awal tahun 60-an M. Diduga, ia menulis 2 Petrus dari Roma tak lama setelah 1 Petrus. Tradisi Kristen awal menunjukkan bahwa Petrus meninggal di bawah pemerintahan Kaisar Nero pada tahun 64 atau 65 M.</w:t>
      </w:r>
    </w:p>
    <w:p>
      <w:pPr>
        <w:pStyle w:val="Heading2"/>
      </w:pPr>
      <w:r>
        <w:rPr>
          <w:lang w:val="id_ID" w:bidi="id_ID"/>
        </w:rPr>
        <w:t>Ikhtisar</w:t>
      </w:r>
    </w:p>
    <w:p>
      <w:pPr/>
      <w:r>
        <w:rPr>
          <w:lang w:val="id_ID" w:bidi="id_ID"/>
        </w:rPr>
      </w:r>
      <w:r>
        <w:rPr>
          <w:lang w:val="id_ID" w:bidi="id_ID"/>
        </w:rPr>
        <w:t>Dalam pembukaan surat (</w:t>
      </w:r>
      <w:r>
        <w:rPr>
          <w:lang w:val="id_ID" w:bidi="id_ID"/>
        </w:rPr>
        <w:t>2Ptr. 1:1–15</w:t>
      </w:r>
      <w:r>
        <w:rPr>
          <w:lang w:val="id_ID" w:bidi="id_ID"/>
        </w:rPr>
        <w:t>), Petrus memperkenalkan dirinya dan para pembacanya (</w:t>
      </w:r>
      <w:r>
        <w:rPr>
          <w:lang w:val="id_ID" w:bidi="id_ID"/>
        </w:rPr>
        <w:t>2Ptr. 1:1–2</w:t>
      </w:r>
      <w:r>
        <w:rPr>
          <w:lang w:val="id_ID" w:bidi="id_ID"/>
        </w:rPr>
        <w:t>) serta menyampaikan kekhawatiran utamanya, yaitu agar para pembacanya bertumbuh dalam pengetahuan tentang Allah dan Kristus (</w:t>
      </w:r>
      <w:r>
        <w:rPr>
          <w:lang w:val="id_ID" w:bidi="id_ID"/>
        </w:rPr>
        <w:t>2Ptr. 1:3–11</w:t>
      </w:r>
      <w:r>
        <w:rPr>
          <w:lang w:val="id_ID" w:bidi="id_ID"/>
        </w:rPr>
        <w:t>). Ia juga memberi tahu hal yang sangat penting kepada mereka bahwa hidupnya tidak akan lama lagi (</w:t>
      </w:r>
      <w:r>
        <w:rPr>
          <w:lang w:val="id_ID" w:bidi="id_ID"/>
        </w:rPr>
        <w:t>2Ptr. 1:12–15</w:t>
      </w:r>
      <w:r>
        <w:rPr>
          <w:lang w:val="id_ID" w:bidi="id_ID"/>
        </w:rPr>
        <w:t>).</w:t>
      </w:r>
    </w:p>
    <w:p>
      <w:pPr/>
      <w:r>
        <w:rPr>
          <w:lang w:val="id_ID" w:bidi="id_ID"/>
        </w:rPr>
      </w:r>
      <w:r>
        <w:rPr>
          <w:lang w:val="id_ID" w:bidi="id_ID"/>
        </w:rPr>
        <w:t>Pasal 2</w:t>
      </w:r>
      <w:r>
        <w:rPr>
          <w:lang w:val="id_ID" w:bidi="id_ID"/>
        </w:rPr>
        <w:t xml:space="preserve"> menjadi fokus utama surat ini, di mana Petrus menggambarkan dan mengutuk para guru palsu. Petrus mempersiapkan kecaman ini dengan menekankan kepastian kedatangan Kristus dalam kemuliaan (</w:t>
      </w:r>
      <w:r>
        <w:rPr>
          <w:lang w:val="id_ID" w:bidi="id_ID"/>
        </w:rPr>
        <w:t>2Ptr. 1:16–21</w:t>
      </w:r>
      <w:r>
        <w:rPr>
          <w:lang w:val="id_ID" w:bidi="id_ID"/>
        </w:rPr>
        <w:t>). Para guru palsu tampaknya kurang percaya terhadap kedatangan Kristus dan penghakiman akhir.</w:t>
      </w:r>
    </w:p>
    <w:p>
      <w:pPr/>
      <w:r>
        <w:rPr>
          <w:lang w:val="id_ID" w:bidi="id_ID"/>
        </w:rPr>
      </w:r>
      <w:r>
        <w:rPr>
          <w:lang w:val="id_ID" w:bidi="id_ID"/>
        </w:rPr>
        <w:t>Petrus mengecam para pengajar palsu dalam empat tahap: Dia meramalkan kedatangan pengajar palsu (</w:t>
      </w:r>
      <w:r>
        <w:rPr>
          <w:lang w:val="id_ID" w:bidi="id_ID"/>
        </w:rPr>
        <w:t>2Ptr. 2:1–3</w:t>
      </w:r>
      <w:r>
        <w:rPr>
          <w:lang w:val="id_ID" w:bidi="id_ID"/>
        </w:rPr>
        <w:t>), menegaskan bahwa Allah akan menghakimi mereka sambil menyelamatkan orang benar (</w:t>
      </w:r>
      <w:r>
        <w:rPr>
          <w:lang w:val="id_ID" w:bidi="id_ID"/>
        </w:rPr>
        <w:t>2Ptr. 2:4–10</w:t>
      </w:r>
      <w:r>
        <w:rPr>
          <w:lang w:val="id_ID" w:bidi="id_ID"/>
        </w:rPr>
        <w:t>), menyatakan dosa-dosa para pengajar palsu (</w:t>
      </w:r>
      <w:r>
        <w:rPr>
          <w:lang w:val="id_ID" w:bidi="id_ID"/>
        </w:rPr>
        <w:t>2Ptr. 2:10–16</w:t>
      </w:r>
      <w:r>
        <w:rPr>
          <w:lang w:val="id_ID" w:bidi="id_ID"/>
        </w:rPr>
        <w:t>), dan mengumumkan kehancuran mereka (</w:t>
      </w:r>
      <w:r>
        <w:rPr>
          <w:lang w:val="id_ID" w:bidi="id_ID"/>
        </w:rPr>
        <w:t>2Ptr. 2:17–22</w:t>
      </w:r>
      <w:r>
        <w:rPr>
          <w:lang w:val="id_ID" w:bidi="id_ID"/>
        </w:rPr>
        <w:t>).</w:t>
      </w:r>
    </w:p>
    <w:p>
      <w:pPr/>
      <w:r>
        <w:rPr>
          <w:lang w:val="id_ID" w:bidi="id_ID"/>
        </w:rPr>
      </w:r>
      <w:r>
        <w:rPr>
          <w:lang w:val="id_ID" w:bidi="id_ID"/>
        </w:rPr>
        <w:t>Setelah menegaskan lebih lanjut bahwa Kristus akan kembali dalam kemuliaan untuk menjadikan dunia baru (</w:t>
      </w:r>
      <w:r>
        <w:rPr>
          <w:lang w:val="id_ID" w:bidi="id_ID"/>
        </w:rPr>
        <w:t>2Ptr. 3:1–13</w:t>
      </w:r>
      <w:r>
        <w:rPr>
          <w:lang w:val="id_ID" w:bidi="id_ID"/>
        </w:rPr>
        <w:t>), Petrus mengakhiri surat ini seperti saat ia memulainya, dengan berdoa agar para pembacanya “bertumbuh dalam anugerah dan pengetahuan tentang Tuhan dan Juruselamat kita Yesus Kristus” (</w:t>
      </w:r>
      <w:r>
        <w:rPr>
          <w:lang w:val="id_ID" w:bidi="id_ID"/>
        </w:rPr>
        <w:t>2Ptr. 3:18</w:t>
      </w:r>
      <w:r>
        <w:rPr>
          <w:lang w:val="id_ID" w:bidi="id_ID"/>
        </w:rPr>
        <w:t xml:space="preserve">; lihat </w:t>
      </w:r>
      <w:r>
        <w:rPr>
          <w:lang w:val="id_ID" w:bidi="id_ID"/>
        </w:rPr>
        <w:t>2Ptr. 1:3–11</w:t>
      </w:r>
      <w:r>
        <w:rPr>
          <w:lang w:val="id_ID" w:bidi="id_ID"/>
        </w:rPr>
        <w:t>).</w:t>
      </w:r>
    </w:p>
    <w:p>
      <w:pPr>
        <w:pStyle w:val="Heading2"/>
      </w:pPr>
      <w:r>
        <w:rPr>
          <w:lang w:val="id_ID" w:bidi="id_ID"/>
        </w:rPr>
        <w:t>Kepengarangan</w:t>
      </w:r>
    </w:p>
    <w:p>
      <w:pPr/>
      <w:r>
        <w:rPr>
          <w:lang w:val="id_ID" w:bidi="id_ID"/>
        </w:rPr>
      </w:r>
      <w:r>
        <w:rPr>
          <w:lang w:val="id_ID" w:bidi="id_ID"/>
        </w:rPr>
        <w:t>Penulis memperkenalkan dirinya sebagai Simon Petrus (</w:t>
      </w:r>
      <w:r>
        <w:rPr>
          <w:lang w:val="id_ID" w:bidi="id_ID"/>
        </w:rPr>
        <w:t>2Ptr. 1:1</w:t>
      </w:r>
      <w:r>
        <w:rPr>
          <w:lang w:val="id_ID" w:bidi="id_ID"/>
        </w:rPr>
        <w:t>), salah satu rasul Yesus. Petrus menyebutkan bahwa “ini adalah surat kedua yang kutulis kepada kamu” (</w:t>
      </w:r>
      <w:r>
        <w:rPr>
          <w:lang w:val="id_ID" w:bidi="id_ID"/>
        </w:rPr>
        <w:t>2Ptr. 3:1</w:t>
      </w:r>
      <w:r>
        <w:rPr>
          <w:lang w:val="id_ID" w:bidi="id_ID"/>
        </w:rPr>
        <w:t>). Surat pertama kemungkinan adalah 1 Petrus.</w:t>
      </w:r>
    </w:p>
    <w:p>
      <w:pPr/>
      <w:r>
        <w:rPr>
          <w:lang w:val="id_ID" w:bidi="id_ID"/>
        </w:rPr>
      </w:r>
      <w:r>
        <w:rPr>
          <w:lang w:val="id_ID" w:bidi="id_ID"/>
        </w:rPr>
        <w:t xml:space="preserve">Namun, dalam banyak hal, 2 Petrus berbeda dengan 1 Petrus, meskipun memiliki kesamaan mencolok dengan surat Yudas. Karena hal ini, maka beberapa penafsir berpikir bahwa orang lain menulis 2 Petrus. Kesimpulan ini tidak diperlukan karena 2 Petrus menghadapi situasi yang sangat berbeda dari 1 Petrus; secara alami, bahasa dan konsepnya berbeda. Selain itu, mungkin saja Silas (juru tulis Petrus yang juga disebut Silwanus dalam </w:t>
      </w:r>
      <w:r>
        <w:rPr>
          <w:lang w:val="id_ID" w:bidi="id_ID"/>
        </w:rPr>
        <w:t>1Ptr. 5:12</w:t>
      </w:r>
      <w:r>
        <w:rPr>
          <w:lang w:val="id_ID" w:bidi="id_ID"/>
        </w:rPr>
        <w:t>) bertanggung jawab atas beberapa kata dalam 1 Petrus dan diduga bahwa Petrus menggunakan juru tulis yang berbeda dalam 2 Petrus.</w:t>
      </w:r>
    </w:p>
    <w:p>
      <w:pPr>
        <w:pStyle w:val="Heading2"/>
      </w:pPr>
      <w:r>
        <w:rPr>
          <w:lang w:val="id_ID" w:bidi="id_ID"/>
        </w:rPr>
        <w:t>Hubungan dengan Yudas</w:t>
      </w:r>
    </w:p>
    <w:p>
      <w:pPr/>
      <w:r>
        <w:rPr>
          <w:lang w:val="id_ID" w:bidi="id_ID"/>
        </w:rPr>
      </w:r>
      <w:r>
        <w:rPr>
          <w:lang w:val="id_ID" w:bidi="id_ID"/>
        </w:rPr>
        <w:t xml:space="preserve">Tidak dapat disangkal bahwa 2 Petrus dan Yudas memiliki semacam hubungan sastra. Kedua surat tersebut menggunakan terlalu banyak ungkapan yang sama dan tidak biasa sehingga kemiripannya tidak mungkin kebetulan atau hanya hasil dari tradisi lisan yang sama (bdk. </w:t>
      </w:r>
      <w:r>
        <w:rPr>
          <w:lang w:val="id_ID" w:bidi="id_ID"/>
        </w:rPr>
        <w:t>2Ptr. 2:3</w:t>
      </w:r>
      <w:r>
        <w:rPr>
          <w:lang w:val="id_ID" w:bidi="id_ID"/>
        </w:rPr>
        <w:t xml:space="preserve"> // </w:t>
      </w:r>
      <w:r>
        <w:rPr>
          <w:lang w:val="id_ID" w:bidi="id_ID"/>
        </w:rPr>
        <w:t>Yud. 1:4</w:t>
      </w:r>
      <w:r>
        <w:rPr>
          <w:lang w:val="id_ID" w:bidi="id_ID"/>
        </w:rPr>
        <w:t xml:space="preserve">; </w:t>
      </w:r>
      <w:r>
        <w:rPr>
          <w:lang w:val="id_ID" w:bidi="id_ID"/>
        </w:rPr>
        <w:t>2Ptr. 2:4</w:t>
      </w:r>
      <w:r>
        <w:rPr>
          <w:lang w:val="id_ID" w:bidi="id_ID"/>
        </w:rPr>
        <w:t xml:space="preserve"> // </w:t>
      </w:r>
      <w:r>
        <w:rPr>
          <w:lang w:val="id_ID" w:bidi="id_ID"/>
        </w:rPr>
        <w:t>Yud. 1:6</w:t>
      </w:r>
      <w:r>
        <w:rPr>
          <w:lang w:val="id_ID" w:bidi="id_ID"/>
        </w:rPr>
        <w:t xml:space="preserve">; </w:t>
      </w:r>
      <w:r>
        <w:rPr>
          <w:lang w:val="id_ID" w:bidi="id_ID"/>
        </w:rPr>
        <w:t>2Ptr. 2:6</w:t>
      </w:r>
      <w:r>
        <w:rPr>
          <w:lang w:val="id_ID" w:bidi="id_ID"/>
        </w:rPr>
        <w:t xml:space="preserve"> // </w:t>
      </w:r>
      <w:r>
        <w:rPr>
          <w:lang w:val="id_ID" w:bidi="id_ID"/>
        </w:rPr>
        <w:t>Yud. 1:7</w:t>
      </w:r>
      <w:r>
        <w:rPr>
          <w:lang w:val="id_ID" w:bidi="id_ID"/>
        </w:rPr>
        <w:t xml:space="preserve">; </w:t>
      </w:r>
      <w:r>
        <w:rPr>
          <w:lang w:val="id_ID" w:bidi="id_ID"/>
        </w:rPr>
        <w:t>2Ptr. 2:10</w:t>
      </w:r>
      <w:r>
        <w:rPr>
          <w:lang w:val="id_ID" w:bidi="id_ID"/>
        </w:rPr>
        <w:t xml:space="preserve"> // </w:t>
      </w:r>
      <w:r>
        <w:rPr>
          <w:lang w:val="id_ID" w:bidi="id_ID"/>
        </w:rPr>
        <w:t>Yud. 1:8</w:t>
      </w:r>
      <w:r>
        <w:rPr>
          <w:lang w:val="id_ID" w:bidi="id_ID"/>
        </w:rPr>
        <w:t xml:space="preserve">; </w:t>
      </w:r>
      <w:r>
        <w:rPr>
          <w:lang w:val="id_ID" w:bidi="id_ID"/>
        </w:rPr>
        <w:t>2Ptr. 2:11</w:t>
      </w:r>
      <w:r>
        <w:rPr>
          <w:lang w:val="id_ID" w:bidi="id_ID"/>
        </w:rPr>
        <w:t xml:space="preserve"> // </w:t>
      </w:r>
      <w:r>
        <w:rPr>
          <w:lang w:val="id_ID" w:bidi="id_ID"/>
        </w:rPr>
        <w:t>Yud. 1:9</w:t>
      </w:r>
      <w:r>
        <w:rPr>
          <w:lang w:val="id_ID" w:bidi="id_ID"/>
        </w:rPr>
        <w:t xml:space="preserve">; </w:t>
      </w:r>
      <w:r>
        <w:rPr>
          <w:lang w:val="id_ID" w:bidi="id_ID"/>
        </w:rPr>
        <w:t>2Ptr. 2:13</w:t>
      </w:r>
      <w:r>
        <w:rPr>
          <w:lang w:val="id_ID" w:bidi="id_ID"/>
        </w:rPr>
        <w:t xml:space="preserve">, </w:t>
      </w:r>
      <w:r>
        <w:rPr>
          <w:lang w:val="id_ID" w:bidi="id_ID"/>
        </w:rPr>
        <w:t>17</w:t>
      </w:r>
      <w:r>
        <w:rPr>
          <w:lang w:val="id_ID" w:bidi="id_ID"/>
        </w:rPr>
        <w:t xml:space="preserve"> // </w:t>
      </w:r>
      <w:r>
        <w:rPr>
          <w:lang w:val="id_ID" w:bidi="id_ID"/>
        </w:rPr>
        <w:t>Yud. 1:12</w:t>
      </w:r>
      <w:r>
        <w:rPr>
          <w:lang w:val="id_ID" w:bidi="id_ID"/>
        </w:rPr>
        <w:t xml:space="preserve">; </w:t>
      </w:r>
      <w:r>
        <w:rPr>
          <w:lang w:val="id_ID" w:bidi="id_ID"/>
        </w:rPr>
        <w:t>2Ptr. 3:3</w:t>
      </w:r>
      <w:r>
        <w:rPr>
          <w:lang w:val="id_ID" w:bidi="id_ID"/>
        </w:rPr>
        <w:t xml:space="preserve"> // </w:t>
      </w:r>
      <w:r>
        <w:rPr>
          <w:lang w:val="id_ID" w:bidi="id_ID"/>
        </w:rPr>
        <w:t>Yud. 1:8</w:t>
      </w:r>
      <w:r>
        <w:rPr>
          <w:lang w:val="id_ID" w:bidi="id_ID"/>
        </w:rPr>
        <w:t>). Hubungan ini dapat dijelaskan dengan salah satu dari tiga cara: (1) Yudas meminjam dari 2 Petrus; (2) 2 Petrus meminjam dari Yudas; atau (3) baik 2 Petrus maupun Yudas meminjam dari sumber sastra umum yang sekarang hilang. Opsi 2 adalah yang paling populer, meskipun opsi 1 juga mungkin. Opsi 3 paling tidak mungkin, karena lebih rumit dan tidak diperlukan. Siapa pun penulis yang melakukan peminjaman tampaknya menghadapi situasi yang sangat mirip dan menemukan bahwa apa yang telah ditulis oleh orang yang lain sesuai dengan tujuannya sendiri. Peminjaman semacam itu tidak jarang terjadi di dunia kuno; alih-alih dianggap sebagai plagiarisme, itu bahkan dianggap sebagai penghargaan.</w:t>
      </w:r>
    </w:p>
    <w:p>
      <w:pPr>
        <w:pStyle w:val="Heading2"/>
      </w:pPr>
      <w:r>
        <w:rPr>
          <w:lang w:val="id_ID" w:bidi="id_ID"/>
        </w:rPr>
        <w:t>Guru-guru Palsu</w:t>
      </w:r>
    </w:p>
    <w:p>
      <w:pPr/>
      <w:r>
        <w:rPr>
          <w:lang w:val="id_ID" w:bidi="id_ID"/>
        </w:rPr>
      </w:r>
      <w:r>
        <w:rPr>
          <w:lang w:val="id_ID" w:bidi="id_ID"/>
        </w:rPr>
        <w:t>Guru-guru palsu yang dikecam oleh Petrus tidak dapat disamakan dengan ajaran sesat yang dikenal dalam gereja kuno. Dengan imoralitas dan skeptisisme mereka, guru-guru palsu ini beranggapan bahwa anugerah Allah memberi mereka kebebasan untuk melakukan apa pun yang mereka ingin lakukan (</w:t>
      </w:r>
      <w:r>
        <w:rPr>
          <w:lang w:val="id_ID" w:bidi="id_ID"/>
        </w:rPr>
        <w:t>2Ptr. 2:19–20</w:t>
      </w:r>
      <w:r>
        <w:rPr>
          <w:lang w:val="id_ID" w:bidi="id_ID"/>
        </w:rPr>
        <w:t xml:space="preserve">). Mereka tidak menghormati otoritas Allah (lihat </w:t>
      </w:r>
      <w:r>
        <w:rPr>
          <w:lang w:val="id_ID" w:bidi="id_ID"/>
        </w:rPr>
        <w:t>2Ptr. 2:10–11</w:t>
      </w:r>
      <w:r>
        <w:rPr>
          <w:lang w:val="id_ID" w:bidi="id_ID"/>
        </w:rPr>
        <w:t>). Mereka terlibat dalam hubungan seks terlarang, minum dan makan berlebihan, serta keserakahan (</w:t>
      </w:r>
      <w:r>
        <w:rPr>
          <w:lang w:val="id_ID" w:bidi="id_ID"/>
        </w:rPr>
        <w:t>2Ptr. 2:13–20</w:t>
      </w:r>
      <w:r>
        <w:rPr>
          <w:lang w:val="id_ID" w:bidi="id_ID"/>
        </w:rPr>
        <w:t>). Mereka mungkin adalah pendahulu dari Gnostik Abad Kedua yang muncul kemudian.</w:t>
      </w:r>
    </w:p>
    <w:p>
      <w:pPr>
        <w:pStyle w:val="Heading2"/>
      </w:pPr>
      <w:r>
        <w:rPr>
          <w:lang w:val="id_ID" w:bidi="id_ID"/>
        </w:rPr>
        <w:t>Makna dan Pesan</w:t>
      </w:r>
    </w:p>
    <w:p>
      <w:pPr/>
      <w:r>
        <w:rPr>
          <w:lang w:val="id_ID" w:bidi="id_ID"/>
        </w:rPr>
      </w:r>
      <w:r>
        <w:rPr>
          <w:lang w:val="id_ID" w:bidi="id_ID"/>
        </w:rPr>
        <w:t>Kedua surat Petrus menyoroti kekhawatiran terhadap kehadiran guru-guru palsu di gereja. Meskipun mereka mengklaim sebagai orang Kristen (</w:t>
      </w:r>
      <w:r>
        <w:rPr>
          <w:lang w:val="id_ID" w:bidi="id_ID"/>
        </w:rPr>
        <w:t>2Ptr. 2:1</w:t>
      </w:r>
      <w:r>
        <w:rPr>
          <w:lang w:val="id_ID" w:bidi="id_ID"/>
        </w:rPr>
        <w:t xml:space="preserve">, </w:t>
      </w:r>
      <w:r>
        <w:rPr>
          <w:lang w:val="id_ID" w:bidi="id_ID"/>
        </w:rPr>
        <w:t>21–22</w:t>
      </w:r>
      <w:r>
        <w:rPr>
          <w:lang w:val="id_ID" w:bidi="id_ID"/>
        </w:rPr>
        <w:t>), Petrus menegaskan bahwa mereka sebenarnya ditakdirkan untuk dihukum sebagai pemberontak melawan Tuhan (</w:t>
      </w:r>
      <w:r>
        <w:rPr>
          <w:lang w:val="id_ID" w:bidi="id_ID"/>
        </w:rPr>
        <w:t>2Ptr. 2:3</w:t>
      </w:r>
      <w:r>
        <w:rPr>
          <w:lang w:val="id_ID" w:bidi="id_ID"/>
        </w:rPr>
        <w:t xml:space="preserve">, </w:t>
      </w:r>
      <w:r>
        <w:rPr>
          <w:lang w:val="id_ID" w:bidi="id_ID"/>
        </w:rPr>
        <w:t>10</w:t>
      </w:r>
      <w:r>
        <w:rPr>
          <w:lang w:val="id_ID" w:bidi="id_ID"/>
        </w:rPr>
        <w:t>). Petrus menulis surat ini untuk memperingatkan para pembacanya agar menolak guru-guru palsu dan ajaran mereka, serta tetap setia pada Kabar Baik. Surat ini mengingatkan betapa berbahayanya menyimpang dari kebenaran. Gereja harus selalu waspada terhadap mereka yang memutarbalikkan kebenaran Kabar Baik dan yang hidupnya tersesat.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