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JUD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Yudas</w:t>
      </w:r>
      <w:r>
        <w:rPr>
          <w:lang w:val="id_ID" w:bidi="id_ID"/>
        </w:rPr>
      </w:r>
    </w:p>
    <w:p>
      <w:pPr/>
      <w:r>
        <w:rPr>
          <w:lang w:val="id_ID" w:bidi="id_ID"/>
        </w:rPr>
      </w:r>
      <w:r>
        <w:rPr>
          <w:lang w:val="id_ID" w:bidi="id_ID"/>
        </w:rPr>
        <w:t>Surat Yudas yang sangat singkat ini memiliki satu fokus: memperingatkan orang percaya agar tidak terjerumus pada ajaran sesat. Yudas menolong orang percaya dalam Kristus untuk tetap setia pada iman dengan menggambarkan potret yang suram dari para pengajar sesat. Sombong, tidak bermoral, dan serakah, para pengajar ini ditakdirkan untuk menghadapi penghakiman mengerikan yang Allah siapkan bagi semua yang menyangkal dan menentang-Nya. Siapakah yang ingin mengikuti orang-orang seperti itu yang menuju penghakiman mereka? Di dunia dengan begitu banyak ide yang menyimpang tentang Kekristenan, kita perlu diingatkan tentang bahaya ajaran sesat.</w:t>
      </w:r>
    </w:p>
    <w:p>
      <w:pPr>
        <w:pStyle w:val="Heading2"/>
      </w:pPr>
      <w:r>
        <w:rPr>
          <w:lang w:val="id_ID" w:bidi="id_ID"/>
        </w:rPr>
        <w:t>Latar Belakang</w:t>
      </w:r>
    </w:p>
    <w:p>
      <w:pPr/>
      <w:r>
        <w:rPr>
          <w:lang w:val="id_ID" w:bidi="id_ID"/>
        </w:rPr>
      </w:r>
      <w:r>
        <w:rPr>
          <w:lang w:val="id_ID" w:bidi="id_ID"/>
        </w:rPr>
        <w:t>Yudas menulis surat ini untuk melawan guru-guru palsu di gereja mula-mula. Yudas lebih menyoroti cara hidup orang-orang ini daripada ajaran mereka; inti dari kritik Yudas adalah bahwa mereka adalah orang-orang yang hidup semaunya (libertinis)— yaitu mereka beranggapan bahwa kasih karunia Allah yang dinyatakan dalam Kristus telah memberi mereka kebebasan untuk melakukan apa pun yang mereka inginkan (</w:t>
      </w:r>
      <w:r>
        <w:rPr>
          <w:lang w:val="id_ID" w:bidi="id_ID"/>
        </w:rPr>
        <w:t>Yud. 1:4</w:t>
      </w:r>
      <w:r>
        <w:rPr>
          <w:lang w:val="id_ID" w:bidi="id_ID"/>
        </w:rPr>
        <w:t xml:space="preserve">). Mereka tidak menghormati otoritas (lihat </w:t>
      </w:r>
      <w:r>
        <w:rPr>
          <w:lang w:val="id_ID" w:bidi="id_ID"/>
        </w:rPr>
        <w:t>Yud. 1:8–9</w:t>
      </w:r>
      <w:r>
        <w:rPr>
          <w:lang w:val="id_ID" w:bidi="id_ID"/>
        </w:rPr>
        <w:t>), dan mereka terlibat dalam banyak perilaku berdosa (</w:t>
      </w:r>
      <w:r>
        <w:rPr>
          <w:lang w:val="id_ID" w:bidi="id_ID"/>
        </w:rPr>
        <w:t>Yud. 1:16</w:t>
      </w:r>
      <w:r>
        <w:rPr>
          <w:lang w:val="id_ID" w:bidi="id_ID"/>
        </w:rPr>
        <w:t xml:space="preserve">, </w:t>
      </w:r>
      <w:r>
        <w:rPr>
          <w:lang w:val="id_ID" w:bidi="id_ID"/>
        </w:rPr>
        <w:t>19</w:t>
      </w:r>
      <w:r>
        <w:rPr>
          <w:lang w:val="id_ID" w:bidi="id_ID"/>
        </w:rPr>
        <w:t xml:space="preserve">). Para pemboros ini, mengaku sebagai pengikut Kristus (lihat </w:t>
      </w:r>
      <w:r>
        <w:rPr>
          <w:lang w:val="id_ID" w:bidi="id_ID"/>
        </w:rPr>
        <w:t>Yud. 1:4</w:t>
      </w:r>
      <w:r>
        <w:rPr>
          <w:lang w:val="id_ID" w:bidi="id_ID"/>
        </w:rPr>
        <w:t>), secara terus terang menyangkal Tuhan dan oleh karena itu ditentukan untuk menerima hukuman yang menanti semua orang yang memberontak kepada-Nya.</w:t>
      </w:r>
    </w:p>
    <w:p>
      <w:pPr>
        <w:pStyle w:val="Heading2"/>
      </w:pPr>
      <w:r>
        <w:rPr>
          <w:lang w:val="id_ID" w:bidi="id_ID"/>
        </w:rPr>
        <w:t>Ikhtisar</w:t>
      </w:r>
    </w:p>
    <w:p>
      <w:pPr/>
      <w:r>
        <w:rPr>
          <w:lang w:val="id_ID" w:bidi="id_ID"/>
        </w:rPr>
      </w:r>
      <w:r>
        <w:rPr>
          <w:lang w:val="id_ID" w:bidi="id_ID"/>
        </w:rPr>
        <w:t>Setelah pembukaan surat (</w:t>
      </w:r>
      <w:r>
        <w:rPr>
          <w:lang w:val="id_ID" w:bidi="id_ID"/>
        </w:rPr>
        <w:t>Yud. 1:1–2</w:t>
      </w:r>
      <w:r>
        <w:rPr>
          <w:lang w:val="id_ID" w:bidi="id_ID"/>
        </w:rPr>
        <w:t>), Yudas menjelaskan situasi yang mendorongnya menulis surat tersebut (</w:t>
      </w:r>
      <w:r>
        <w:rPr>
          <w:lang w:val="id_ID" w:bidi="id_ID"/>
        </w:rPr>
        <w:t>Yud. 1:3–4</w:t>
      </w:r>
      <w:r>
        <w:rPr>
          <w:lang w:val="id_ID" w:bidi="id_ID"/>
        </w:rPr>
        <w:t>): Ancaman dari para guru palsu membuatnya harus menulis surat yang sangat berbeda dari yang awalnya direncanakan.</w:t>
      </w:r>
    </w:p>
    <w:p>
      <w:pPr/>
      <w:r>
        <w:rPr>
          <w:lang w:val="id_ID" w:bidi="id_ID"/>
        </w:rPr>
      </w:r>
      <w:r>
        <w:rPr>
          <w:lang w:val="id_ID" w:bidi="id_ID"/>
        </w:rPr>
        <w:t xml:space="preserve">Dalam </w:t>
      </w:r>
      <w:r>
        <w:rPr>
          <w:lang w:val="id_ID" w:bidi="id_ID"/>
        </w:rPr>
        <w:t>Yud. 1:5–16</w:t>
      </w:r>
      <w:r>
        <w:rPr>
          <w:lang w:val="id_ID" w:bidi="id_ID"/>
        </w:rPr>
        <w:t xml:space="preserve">, Yudas menjelaskan karakter para guru palsu ini. Bagian ini berkembang dalam urutan </w:t>
      </w:r>
      <w:r>
        <w:rPr>
          <w:i/>
          <w:lang w:val="id_ID" w:bidi="id_ID"/>
        </w:rPr>
        <w:t>A-B-A’</w:t>
      </w:r>
      <w:r>
        <w:rPr>
          <w:lang w:val="id_ID" w:bidi="id_ID"/>
        </w:rPr>
        <w:t>. Yudas pertama-tama menggunakan tiga contoh dari kitab suci untuk menggambarkan hukuman yang akan dihadapi oleh para pengajar palsu (</w:t>
      </w:r>
      <w:r>
        <w:rPr>
          <w:i/>
          <w:lang w:val="id_ID" w:bidi="id_ID"/>
        </w:rPr>
        <w:t>A,</w:t>
      </w:r>
      <w:r>
        <w:rPr>
          <w:lang w:val="id_ID" w:bidi="id_ID"/>
        </w:rPr>
        <w:t>Yud. 1:5–10</w:t>
      </w:r>
      <w:r>
        <w:rPr>
          <w:lang w:val="id_ID" w:bidi="id_ID"/>
        </w:rPr>
        <w:t>). Kemudian, ia mengutip tiga contoh kitab suci lagi untuk mencela sikap dan perilaku mereka yang tidak saleh (</w:t>
      </w:r>
      <w:r>
        <w:rPr>
          <w:i/>
          <w:lang w:val="id_ID" w:bidi="id_ID"/>
        </w:rPr>
        <w:t>B,</w:t>
      </w:r>
      <w:r>
        <w:rPr>
          <w:lang w:val="id_ID" w:bidi="id_ID"/>
        </w:rPr>
        <w:t>Yud. 1:11–13</w:t>
      </w:r>
      <w:r>
        <w:rPr>
          <w:lang w:val="id_ID" w:bidi="id_ID"/>
        </w:rPr>
        <w:t>). Di akhir bagian ini, ia kembali membahas hukuman mereka dengan mengutip tradisi Yahudi untuk menekankan dakwaannya (</w:t>
      </w:r>
      <w:r>
        <w:rPr>
          <w:i/>
          <w:lang w:val="id_ID" w:bidi="id_ID"/>
        </w:rPr>
        <w:t>A’,</w:t>
      </w:r>
      <w:r>
        <w:rPr>
          <w:lang w:val="id_ID" w:bidi="id_ID"/>
        </w:rPr>
        <w:t>Yud. 1:14–16</w:t>
      </w:r>
      <w:r>
        <w:rPr>
          <w:lang w:val="id_ID" w:bidi="id_ID"/>
        </w:rPr>
        <w:t>).</w:t>
      </w:r>
    </w:p>
    <w:p>
      <w:pPr/>
      <w:r>
        <w:rPr>
          <w:lang w:val="id_ID" w:bidi="id_ID"/>
        </w:rPr>
      </w:r>
      <w:r>
        <w:rPr>
          <w:lang w:val="id_ID" w:bidi="id_ID"/>
        </w:rPr>
        <w:t>Yudas kemudian segera mengimbau para pembacanya (</w:t>
      </w:r>
      <w:r>
        <w:rPr>
          <w:lang w:val="id_ID" w:bidi="id_ID"/>
        </w:rPr>
        <w:t>Yud. 1:17–23</w:t>
      </w:r>
      <w:r>
        <w:rPr>
          <w:lang w:val="id_ID" w:bidi="id_ID"/>
        </w:rPr>
        <w:t>), mendesak mereka untuk berpegang teguh pada kebenaran Allah dan menjangkau orang-orang percaya yang mungkin telah tergoda mengikuti guru-guru palsu. Surat ini diakhiri dengan doksologi yang terkenal (</w:t>
      </w:r>
      <w:r>
        <w:rPr>
          <w:lang w:val="id_ID" w:bidi="id_ID"/>
        </w:rPr>
        <w:t>Yud. 1:24–25</w:t>
      </w:r>
      <w:r>
        <w:rPr>
          <w:lang w:val="id_ID" w:bidi="id_ID"/>
        </w:rPr>
        <w:t>).</w:t>
      </w:r>
    </w:p>
    <w:p>
      <w:pPr>
        <w:pStyle w:val="Heading2"/>
      </w:pPr>
      <w:r>
        <w:rPr>
          <w:lang w:val="id_ID" w:bidi="id_ID"/>
        </w:rPr>
        <w:t>Penulis</w:t>
      </w:r>
    </w:p>
    <w:p>
      <w:pPr/>
      <w:r>
        <w:rPr>
          <w:lang w:val="id_ID" w:bidi="id_ID"/>
        </w:rPr>
      </w:r>
      <w:r>
        <w:rPr>
          <w:lang w:val="id_ID" w:bidi="id_ID"/>
        </w:rPr>
        <w:t>Yudas menyebut dirinya sebagai “saudara Yakobus” (</w:t>
      </w:r>
      <w:r>
        <w:rPr>
          <w:lang w:val="id_ID" w:bidi="id_ID"/>
        </w:rPr>
        <w:t>Yud. 1:1</w:t>
      </w:r>
      <w:r>
        <w:rPr>
          <w:lang w:val="id_ID" w:bidi="id_ID"/>
        </w:rPr>
        <w:t>). Yakobus ini hampir pasti adalah “saudara Tuhan” (</w:t>
      </w:r>
      <w:r>
        <w:rPr>
          <w:lang w:val="id_ID" w:bidi="id_ID"/>
        </w:rPr>
        <w:t>Gal. 1:19</w:t>
      </w:r>
      <w:r>
        <w:rPr>
          <w:lang w:val="id_ID" w:bidi="id_ID"/>
        </w:rPr>
        <w:t xml:space="preserve">; lihat </w:t>
      </w:r>
      <w:r>
        <w:rPr>
          <w:lang w:val="id_ID" w:bidi="id_ID"/>
        </w:rPr>
        <w:t>Mat. 13:55</w:t>
      </w:r>
      <w:r>
        <w:rPr>
          <w:lang w:val="id_ID" w:bidi="id_ID"/>
        </w:rPr>
        <w:t xml:space="preserve"> // </w:t>
      </w:r>
      <w:r>
        <w:rPr>
          <w:lang w:val="id_ID" w:bidi="id_ID"/>
        </w:rPr>
        <w:t>Markus 6:3</w:t>
      </w:r>
      <w:r>
        <w:rPr>
          <w:lang w:val="id_ID" w:bidi="id_ID"/>
        </w:rPr>
        <w:t>), yang menjadi pemimpin yang terkenal di gereja Yerusalem (</w:t>
      </w:r>
      <w:r>
        <w:rPr>
          <w:lang w:val="id_ID" w:bidi="id_ID"/>
        </w:rPr>
        <w:t>Kisah 15:13–21</w:t>
      </w:r>
      <w:r>
        <w:rPr>
          <w:lang w:val="id_ID" w:bidi="id_ID"/>
        </w:rPr>
        <w:t xml:space="preserve">; </w:t>
      </w:r>
      <w:r>
        <w:rPr>
          <w:lang w:val="id_ID" w:bidi="id_ID"/>
        </w:rPr>
        <w:t>21:18</w:t>
      </w:r>
      <w:r>
        <w:rPr>
          <w:lang w:val="id_ID" w:bidi="id_ID"/>
        </w:rPr>
        <w:t xml:space="preserve">) dan menulis surat Yakobus. Oleh karena itu, Yudas juga adalah saudara Yesus (Yudas disebut “Yudas” dalam </w:t>
      </w:r>
      <w:r>
        <w:rPr>
          <w:lang w:val="id_ID" w:bidi="id_ID"/>
        </w:rPr>
        <w:t>Mat. 13:55</w:t>
      </w:r>
      <w:r>
        <w:rPr>
          <w:lang w:val="id_ID" w:bidi="id_ID"/>
        </w:rPr>
        <w:t xml:space="preserve"> // </w:t>
      </w:r>
      <w:r>
        <w:rPr>
          <w:lang w:val="id_ID" w:bidi="id_ID"/>
        </w:rPr>
        <w:t>Markus 6:3</w:t>
      </w:r>
      <w:r>
        <w:rPr>
          <w:lang w:val="id_ID" w:bidi="id_ID"/>
        </w:rPr>
        <w:t>). Yudas dan saudara-saudara Yesus lainnya tidak mengikuti Yesus selama pelayanan-Nya di bumi (</w:t>
      </w:r>
      <w:r>
        <w:rPr>
          <w:lang w:val="id_ID" w:bidi="id_ID"/>
        </w:rPr>
        <w:t>Yohanes 7:5</w:t>
      </w:r>
      <w:r>
        <w:rPr>
          <w:lang w:val="id_ID" w:bidi="id_ID"/>
        </w:rPr>
        <w:t xml:space="preserve">), tetapi tampaknya menjadi percaya setelah Kebangkitan (lihat </w:t>
      </w:r>
      <w:r>
        <w:rPr>
          <w:lang w:val="id_ID" w:bidi="id_ID"/>
        </w:rPr>
        <w:t>Kisah 1:14</w:t>
      </w:r>
      <w:r>
        <w:rPr>
          <w:lang w:val="id_ID" w:bidi="id_ID"/>
        </w:rPr>
        <w:t xml:space="preserve">; </w:t>
      </w:r>
      <w:r>
        <w:rPr>
          <w:lang w:val="id_ID" w:bidi="id_ID"/>
        </w:rPr>
        <w:t>1Kor. 15:7</w:t>
      </w:r>
      <w:r>
        <w:rPr>
          <w:lang w:val="id_ID" w:bidi="id_ID"/>
        </w:rPr>
        <w:t>) dan melakukan perjalanan untuk menyebarkan berita tentang Tuhan yang bangkit (</w:t>
      </w:r>
      <w:r>
        <w:rPr>
          <w:lang w:val="id_ID" w:bidi="id_ID"/>
        </w:rPr>
        <w:t>1Kor. 9:5</w:t>
      </w:r>
      <w:r>
        <w:rPr>
          <w:lang w:val="id_ID" w:bidi="id_ID"/>
        </w:rPr>
        <w:t>).</w:t>
      </w:r>
    </w:p>
    <w:p>
      <w:pPr>
        <w:pStyle w:val="Heading2"/>
      </w:pPr>
      <w:r>
        <w:rPr>
          <w:lang w:val="id_ID" w:bidi="id_ID"/>
        </w:rPr>
        <w:t>Waktu dan Tujuan Penulisan</w:t>
      </w:r>
    </w:p>
    <w:p>
      <w:pPr/>
      <w:r>
        <w:rPr>
          <w:lang w:val="id_ID" w:bidi="id_ID"/>
        </w:rPr>
      </w:r>
      <w:r>
        <w:rPr>
          <w:lang w:val="id_ID" w:bidi="id_ID"/>
        </w:rPr>
        <w:t xml:space="preserve">Kita tahu sangat sedikit tentang Yudas sehingga kita tidak dapat menentukan waktu atau tujuan dari surat tersebut. Surat ini mungkin ditulis setelah tahun 45 M, untuk memberikan waktu bagi ajaran sesat yang dijelaskan di sini untuk berkembang. Surat ini mungkin ditulis sebelum tahun 90 M, ketika bahkan adik Yesus ini sudah tua. Hubungan dekat antara 2 Petrus dan Yudas menunjukkan bahwa keduanya mungkin ditulis pada waktu yang hampir bersamaan (lihat </w:t>
      </w:r>
      <w:r>
        <w:rPr>
          <w:lang w:val="id_ID" w:bidi="id_ID"/>
        </w:rPr>
        <w:t>Pendahuluan Kitab 2 Petrus, “Hubungan dengan Yudas”</w:t>
      </w:r>
      <w:r>
        <w:rPr>
          <w:lang w:val="id_ID" w:bidi="id_ID"/>
        </w:rPr>
        <w:t>).</w:t>
      </w:r>
    </w:p>
    <w:p>
      <w:pPr>
        <w:pStyle w:val="Heading2"/>
      </w:pPr>
      <w:r>
        <w:rPr>
          <w:lang w:val="id_ID" w:bidi="id_ID"/>
        </w:rPr>
        <w:t>Makna dan Pesan</w:t>
      </w:r>
    </w:p>
    <w:p>
      <w:pPr/>
      <w:r>
        <w:rPr>
          <w:lang w:val="id_ID" w:bidi="id_ID"/>
        </w:rPr>
      </w:r>
      <w:r>
        <w:rPr>
          <w:b/>
          <w:lang w:val="id_ID" w:bidi="id_ID"/>
        </w:rPr>
        <w:t>Guru-guru Palsu</w:t>
      </w:r>
      <w:r>
        <w:rPr>
          <w:lang w:val="id_ID" w:bidi="id_ID"/>
        </w:rPr>
        <w:t>. Guru-guru palsu dari berbagai aliran mengganggu umat Allah selama bertahun-tahun. Surat Yudas adalah pengingat kuat tentang potensi mereka untuk merusak komunitas dan memberikan gambaran jelas tentang nasib buruk mereka. Deskripsi Yudas tentang guru-guru palsu memanfaatkan Perjanjian Lama dan tradisi Yahudi lainnya secara dinamis. Yudas membandingkan guru-guru palsu dengan bangsa Israel yang memberontak di padang gurun (</w:t>
      </w:r>
      <w:r>
        <w:rPr>
          <w:lang w:val="id_ID" w:bidi="id_ID"/>
        </w:rPr>
        <w:t>Yud. 1:5</w:t>
      </w:r>
      <w:r>
        <w:rPr>
          <w:lang w:val="id_ID" w:bidi="id_ID"/>
        </w:rPr>
        <w:t>), dengan malaikat yang memberontak melawan Allah (</w:t>
      </w:r>
      <w:r>
        <w:rPr>
          <w:lang w:val="id_ID" w:bidi="id_ID"/>
        </w:rPr>
        <w:t>Yud. 1:6</w:t>
      </w:r>
      <w:r>
        <w:rPr>
          <w:lang w:val="id_ID" w:bidi="id_ID"/>
        </w:rPr>
        <w:t>), dan dengan para pendosa Sodom dan Gomora (</w:t>
      </w:r>
      <w:r>
        <w:rPr>
          <w:lang w:val="id_ID" w:bidi="id_ID"/>
        </w:rPr>
        <w:t>Yud. 1:7</w:t>
      </w:r>
      <w:r>
        <w:rPr>
          <w:lang w:val="id_ID" w:bidi="id_ID"/>
        </w:rPr>
        <w:t xml:space="preserve">). Guru-guru palsu seperti Kain (lihat </w:t>
      </w:r>
      <w:r>
        <w:rPr>
          <w:lang w:val="id_ID" w:bidi="id_ID"/>
        </w:rPr>
        <w:t>Kej. 4</w:t>
      </w:r>
      <w:r>
        <w:rPr>
          <w:lang w:val="id_ID" w:bidi="id_ID"/>
        </w:rPr>
        <w:t xml:space="preserve">), Bileam (lihat </w:t>
      </w:r>
      <w:r>
        <w:rPr>
          <w:lang w:val="id_ID" w:bidi="id_ID"/>
        </w:rPr>
        <w:t>Bil. 22–24</w:t>
      </w:r>
      <w:r>
        <w:rPr>
          <w:lang w:val="id_ID" w:bidi="id_ID"/>
        </w:rPr>
        <w:t xml:space="preserve">), dan Korah (lihat </w:t>
      </w:r>
      <w:r>
        <w:rPr>
          <w:lang w:val="id_ID" w:bidi="id_ID"/>
        </w:rPr>
        <w:t>Bil. 16</w:t>
      </w:r>
      <w:r>
        <w:rPr>
          <w:lang w:val="id_ID" w:bidi="id_ID"/>
        </w:rPr>
        <w:t>). Seperti semua contoh ini, guru-guru palsu adalah pemberontak melawan Tuhan dan akan mengalami penghakiman-Nya.</w:t>
      </w:r>
    </w:p>
    <w:p>
      <w:pPr/>
      <w:r>
        <w:rPr>
          <w:lang w:val="id_ID" w:bidi="id_ID"/>
        </w:rPr>
      </w:r>
      <w:r>
        <w:rPr>
          <w:b/>
          <w:lang w:val="id_ID" w:bidi="id_ID"/>
        </w:rPr>
        <w:t>Pembelaan Iman</w:t>
      </w:r>
      <w:r>
        <w:rPr>
          <w:lang w:val="id_ID" w:bidi="id_ID"/>
        </w:rPr>
        <w:t xml:space="preserve">. Dalam </w:t>
      </w:r>
      <w:r>
        <w:rPr>
          <w:lang w:val="id_ID" w:bidi="id_ID"/>
        </w:rPr>
        <w:t>Yud. 1:3</w:t>
      </w:r>
      <w:r>
        <w:rPr>
          <w:lang w:val="id_ID" w:bidi="id_ID"/>
        </w:rPr>
        <w:t>, Yudas menyiratkan bahwa ada pesan inti dalam gereja mula-mula yang menjadi dasar bagi kepercayaan Kristen. Paulus juga melakukan hal yang sama ketika dia mendesak Timotius untuk “menjaga apa yang telah Allah percayakan kepadamu” (</w:t>
      </w:r>
      <w:r>
        <w:rPr>
          <w:lang w:val="id_ID" w:bidi="id_ID"/>
        </w:rPr>
        <w:t>1Tim. 6:20</w:t>
      </w:r>
      <w:r>
        <w:rPr>
          <w:lang w:val="id_ID" w:bidi="id_ID"/>
        </w:rPr>
        <w:t xml:space="preserve">; lihat </w:t>
      </w:r>
      <w:r>
        <w:rPr>
          <w:lang w:val="id_ID" w:bidi="id_ID"/>
        </w:rPr>
        <w:t>2Tim. 1:14</w:t>
      </w:r>
      <w:r>
        <w:rPr>
          <w:lang w:val="id_ID" w:bidi="id_ID"/>
        </w:rPr>
        <w:t>).</w:t>
      </w:r>
    </w:p>
    <w:p>
      <w:pPr/>
      <w:r>
        <w:rPr>
          <w:lang w:val="id_ID" w:bidi="id_ID"/>
        </w:rPr>
      </w:r>
      <w:r>
        <w:rPr>
          <w:lang w:val="id_ID" w:bidi="id_ID"/>
        </w:rPr>
        <w:t xml:space="preserve">Menjadi seorang Kristen berarti memiliki iman kepada Allah dan kasih kepada sesama; ini juga berarti dengan senang hati mengakui kebenaran yang telah Allah nyatakan dalam Yesus Kristus. Kita tidak dapat benar-benar menyatakan iman kepada Allah kecuali kita mengakui kebenaran yang telah Dia nyatakan. Oleh karena itu, orang Kristen mula-mula, bahkan pada periode Perjanjian Baru, merumuskan pengakuan iman untuk merangkum esensi kebenaran Kristen (misalnya, </w:t>
      </w:r>
      <w:r>
        <w:rPr>
          <w:lang w:val="id_ID" w:bidi="id_ID"/>
        </w:rPr>
        <w:t>1Tim. 3:16</w:t>
      </w:r>
      <w:r>
        <w:rPr>
          <w:lang w:val="id_ID" w:bidi="id_ID"/>
        </w:rPr>
        <w:t>). Pengakuan iman ini sering dibuat untuk melawan ajaran sesat.</w:t>
      </w:r>
    </w:p>
    <w:p>
      <w:pPr/>
      <w:r>
        <w:rPr>
          <w:lang w:val="id_ID" w:bidi="id_ID"/>
        </w:rPr>
      </w:r>
      <w:r>
        <w:rPr>
          <w:lang w:val="id_ID" w:bidi="id_ID"/>
        </w:rPr>
        <w:t>Jika kita ingin menanggapi panggilan Yudas untuk "membela iman," kita perlu memahami apa sebenarnya iman itu. Banyak orang Kristen menghabiskan terlalu banyak energi untuk memperdebatkan secara detail hal-hal yang tidak penting dan terlalu sedikit waktu untuk mempelajari dengan baik pokok-pokok iman yang mendasar. Hanya dengan mempelajari pokok-pokok iman yang mendasar, orang percaya akan mampu menjelaskan iman mereka kepada orang lain dan melindungi kebenaran Kristen dari ajaran sesat.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