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2KI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Kings</w:t>
      </w:r>
      <w:r>
        <w:rPr>
          <w:lang w:val="pt_PT" w:bidi="pt_PT"/>
        </w:rPr>
      </w:r>
    </w:p>
    <w:p>
      <w:pPr/>
      <w:r>
        <w:rPr>
          <w:lang w:val="pt_PT" w:bidi="pt_PT"/>
        </w:rPr>
      </w:r>
      <w:r>
        <w:rPr>
          <w:lang w:val="pt_PT" w:bidi="pt_PT"/>
        </w:rPr>
        <w:t>O livro de 2 Reis está cheio de líderes que não aprenderam com o passado. Em virtude de seu fracasso espiritual, esses reis trouxeram a condenação sobre si e sua nação. No entanto, também há exemplos brilhantes de pessoas que colocam Deus e sua palavra em primeiro lugar e desfrutaram das bênçãos que Deus prometeu. Ler os relatos da vida dos reis nos inspira a evitar seus erros e desfrutar das bênçãos que Deus promete àqueles que o amam e o servem.</w:t>
      </w:r>
    </w:p>
    <w:p>
      <w:pPr>
        <w:pStyle w:val="Heading2"/>
      </w:pPr>
      <w:r>
        <w:rPr>
          <w:lang w:val="pt_PT" w:bidi="pt_PT"/>
        </w:rPr>
        <w:t>Cenário</w:t>
      </w:r>
    </w:p>
    <w:p>
      <w:pPr/>
      <w:r>
        <w:rPr>
          <w:lang w:val="pt_PT" w:bidi="pt_PT"/>
        </w:rPr>
      </w:r>
      <w:r>
        <w:rPr>
          <w:lang w:val="pt_PT" w:bidi="pt_PT"/>
        </w:rPr>
        <w:t>O livro de 2 Reis continua a história da monarquia dividida de Israel, retomando de onde 1 Reis termina, com Acazias reinando sobre o reino do norte de Israel e Josafá governando no reino do sul de Judá. O relato traça os destinos dos dois reinos até seus respectivos fins — o reino do norte em 722 a.C, o reino do sul em 586 a.C.</w:t>
      </w:r>
    </w:p>
    <w:p>
      <w:pPr>
        <w:pStyle w:val="Heading2"/>
      </w:pPr>
      <w:r>
        <w:rPr>
          <w:lang w:val="pt_PT" w:bidi="pt_PT"/>
        </w:rPr>
        <w:t>Resumo</w:t>
      </w:r>
    </w:p>
    <w:p>
      <w:pPr/>
      <w:r>
        <w:rPr>
          <w:lang w:val="pt_PT" w:bidi="pt_PT"/>
        </w:rPr>
      </w:r>
      <w:r>
        <w:rPr>
          <w:lang w:val="pt_PT" w:bidi="pt_PT"/>
        </w:rPr>
        <w:t xml:space="preserve">O livro de 2 Reis é estruturado em torno dos reinados dos reis de Israel e Judá. Quatro períodos diferentes são cobertos: (1) os anos finais da terceira dinastia do reino do norte (853–841 a.C, </w:t>
      </w:r>
      <w:r>
        <w:rPr>
          <w:lang w:val="pt_PT" w:bidi="pt_PT"/>
        </w:rPr>
        <w:t>1.1–9.37</w:t>
      </w:r>
      <w:r>
        <w:rPr>
          <w:lang w:val="pt_PT" w:bidi="pt_PT"/>
        </w:rPr>
        <w:t xml:space="preserve">), (2) a era da quarta dinastia do reino do norte (841–752 a.C, </w:t>
      </w:r>
      <w:r>
        <w:rPr>
          <w:lang w:val="pt_PT" w:bidi="pt_PT"/>
        </w:rPr>
        <w:t>10.1–15.12</w:t>
      </w:r>
      <w:r>
        <w:rPr>
          <w:lang w:val="pt_PT" w:bidi="pt_PT"/>
        </w:rPr>
        <w:t xml:space="preserve">), (3) o período do declínio e queda do reino do norte (752–722 a.C, </w:t>
      </w:r>
      <w:r>
        <w:rPr>
          <w:lang w:val="pt_PT" w:bidi="pt_PT"/>
        </w:rPr>
        <w:t>15.13–17.41</w:t>
      </w:r>
      <w:r>
        <w:rPr>
          <w:lang w:val="pt_PT" w:bidi="pt_PT"/>
        </w:rPr>
        <w:t>), e (4) a era final do reino do sul (722–586 a.C, 1</w:t>
      </w:r>
      <w:r>
        <w:rPr>
          <w:lang w:val="pt_PT" w:bidi="pt_PT"/>
        </w:rPr>
        <w:t>8.1–25.30</w:t>
      </w:r>
      <w:r>
        <w:rPr>
          <w:lang w:val="pt_PT" w:bidi="pt_PT"/>
        </w:rPr>
        <w:t>).</w:t>
      </w:r>
    </w:p>
    <w:p>
      <w:pPr/>
      <w:r>
        <w:rPr>
          <w:lang w:val="pt_PT" w:bidi="pt_PT"/>
        </w:rPr>
      </w:r>
      <w:r>
        <w:rPr>
          <w:lang w:val="pt_PT" w:bidi="pt_PT"/>
        </w:rPr>
        <w:t>O livro começa com um acidente que causou a morte do rei Acazias de Israel (</w:t>
      </w:r>
      <w:r>
        <w:rPr>
          <w:lang w:val="pt_PT" w:bidi="pt_PT"/>
        </w:rPr>
        <w:t>1.1–18</w:t>
      </w:r>
      <w:r>
        <w:rPr>
          <w:lang w:val="pt_PT" w:bidi="pt_PT"/>
        </w:rPr>
        <w:t>) e com o evento final da vida de Elias, quando Deus o levou para o céu (</w:t>
      </w:r>
      <w:r>
        <w:rPr>
          <w:lang w:val="pt_PT" w:bidi="pt_PT"/>
        </w:rPr>
        <w:t>2.1–12</w:t>
      </w:r>
      <w:r>
        <w:rPr>
          <w:lang w:val="pt_PT" w:bidi="pt_PT"/>
        </w:rPr>
        <w:t>). O manto profético passou para Eliseu, com milagres e conselhos nos próximos capítulos (</w:t>
      </w:r>
      <w:r>
        <w:rPr>
          <w:lang w:val="pt_PT" w:bidi="pt_PT"/>
        </w:rPr>
        <w:t>2.12–8.15</w:t>
      </w:r>
      <w:r>
        <w:rPr>
          <w:lang w:val="pt_PT" w:bidi="pt_PT"/>
        </w:rPr>
        <w:t xml:space="preserve">; veja </w:t>
      </w:r>
      <w:r>
        <w:rPr>
          <w:lang w:val="pt_PT" w:bidi="pt_PT"/>
        </w:rPr>
        <w:t>9.1–10</w:t>
      </w:r>
      <w:r>
        <w:rPr>
          <w:lang w:val="pt_PT" w:bidi="pt_PT"/>
        </w:rPr>
        <w:t>).</w:t>
      </w:r>
    </w:p>
    <w:p>
      <w:pPr/>
      <w:r>
        <w:rPr>
          <w:lang w:val="pt_PT" w:bidi="pt_PT"/>
        </w:rPr>
      </w:r>
      <w:r>
        <w:rPr>
          <w:lang w:val="pt_PT" w:bidi="pt_PT"/>
        </w:rPr>
        <w:t>Os reinados dos reis Jorão e Acazias de Judá (</w:t>
      </w:r>
      <w:r>
        <w:rPr>
          <w:lang w:val="pt_PT" w:bidi="pt_PT"/>
        </w:rPr>
        <w:t>8.16–29</w:t>
      </w:r>
      <w:r>
        <w:rPr>
          <w:lang w:val="pt_PT" w:bidi="pt_PT"/>
        </w:rPr>
        <w:t>) trazem o relato para o ano crucial de 841 a.C, quando Jeú matou os reis Jorão e Acazias. Jeú também matou Jezabel, os membros sobreviventes da família de Acabe, e os oficiais que adoravam Baal (</w:t>
      </w:r>
      <w:r>
        <w:rPr>
          <w:lang w:val="pt_PT" w:bidi="pt_PT"/>
        </w:rPr>
        <w:t>9.11–10.29</w:t>
      </w:r>
      <w:r>
        <w:rPr>
          <w:lang w:val="pt_PT" w:bidi="pt_PT"/>
        </w:rPr>
        <w:t>). Então o reinado de vinte e oito anos de Jeú começou (</w:t>
      </w:r>
      <w:r>
        <w:rPr>
          <w:lang w:val="pt_PT" w:bidi="pt_PT"/>
        </w:rPr>
        <w:t>10.30–36</w:t>
      </w:r>
      <w:r>
        <w:rPr>
          <w:lang w:val="pt_PT" w:bidi="pt_PT"/>
        </w:rPr>
        <w:t>). Ao mesmo tempo, Atalia (</w:t>
      </w:r>
      <w:r>
        <w:rPr>
          <w:lang w:val="pt_PT" w:bidi="pt_PT"/>
        </w:rPr>
        <w:t>11.1–20</w:t>
      </w:r>
      <w:r>
        <w:rPr>
          <w:lang w:val="pt_PT" w:bidi="pt_PT"/>
        </w:rPr>
        <w:t>) usurpou o trono de Judá e reinou por seis anos até que aqueles leais à linhagem de Davi empossaram o jovem Joás como rei (</w:t>
      </w:r>
      <w:r>
        <w:rPr>
          <w:lang w:val="pt_PT" w:bidi="pt_PT"/>
        </w:rPr>
        <w:t>12.1–21</w:t>
      </w:r>
      <w:r>
        <w:rPr>
          <w:lang w:val="pt_PT" w:bidi="pt_PT"/>
        </w:rPr>
        <w:t>).</w:t>
      </w:r>
    </w:p>
    <w:p>
      <w:pPr/>
      <w:r>
        <w:rPr>
          <w:lang w:val="pt_PT" w:bidi="pt_PT"/>
        </w:rPr>
      </w:r>
      <w:r>
        <w:rPr>
          <w:lang w:val="pt_PT" w:bidi="pt_PT"/>
        </w:rPr>
        <w:t>Os reinos gêmeos desfrutaram de prosperidade por um tempo (</w:t>
      </w:r>
      <w:r>
        <w:rPr>
          <w:lang w:val="pt_PT" w:bidi="pt_PT"/>
        </w:rPr>
        <w:t>14.23–15.7</w:t>
      </w:r>
      <w:r>
        <w:rPr>
          <w:lang w:val="pt_PT" w:bidi="pt_PT"/>
        </w:rPr>
        <w:t>), mas o reino do norte continuou a fazer o mal e entrou em seu declínio: o assassinato de Zacarias (</w:t>
      </w:r>
      <w:r>
        <w:rPr>
          <w:lang w:val="pt_PT" w:bidi="pt_PT"/>
        </w:rPr>
        <w:t>15.8–12</w:t>
      </w:r>
      <w:r>
        <w:rPr>
          <w:lang w:val="pt_PT" w:bidi="pt_PT"/>
        </w:rPr>
        <w:t>) foi seguida pelos breves reinados de Salum, Manaém, Peca, e Oseias (</w:t>
      </w:r>
      <w:r>
        <w:rPr>
          <w:lang w:val="pt_PT" w:bidi="pt_PT"/>
        </w:rPr>
        <w:t>15.13–17.2</w:t>
      </w:r>
      <w:r>
        <w:rPr>
          <w:lang w:val="pt_PT" w:bidi="pt_PT"/>
        </w:rPr>
        <w:t>). Oseias, o último rei de Israel (732–722 a.C.), colocou tolamente sua confiança no Egito e se rebelou contra Assíria, trazendo a captura de Samaria e o fim do reino do norte em 722 a.C. (</w:t>
      </w:r>
      <w:r>
        <w:rPr>
          <w:lang w:val="pt_PT" w:bidi="pt_PT"/>
        </w:rPr>
        <w:t>17.3–6</w:t>
      </w:r>
      <w:r>
        <w:rPr>
          <w:lang w:val="pt_PT" w:bidi="pt_PT"/>
        </w:rPr>
        <w:t>). O autor então avalia as razões para a queda de Israel e dá um relato da repovoação de Samaria (</w:t>
      </w:r>
      <w:r>
        <w:rPr>
          <w:lang w:val="pt_PT" w:bidi="pt_PT"/>
        </w:rPr>
        <w:t>17.7–41</w:t>
      </w:r>
      <w:r>
        <w:rPr>
          <w:lang w:val="pt_PT" w:bidi="pt_PT"/>
        </w:rPr>
        <w:t>).</w:t>
      </w:r>
    </w:p>
    <w:p>
      <w:pPr/>
      <w:r>
        <w:rPr>
          <w:lang w:val="pt_PT" w:bidi="pt_PT"/>
        </w:rPr>
      </w:r>
      <w:r>
        <w:rPr>
          <w:lang w:val="pt_PT" w:bidi="pt_PT"/>
        </w:rPr>
        <w:t>A seção final de 2 Reis (</w:t>
      </w:r>
      <w:r>
        <w:rPr>
          <w:lang w:val="pt_PT" w:bidi="pt_PT"/>
        </w:rPr>
        <w:t>18.1–25.30</w:t>
      </w:r>
      <w:r>
        <w:rPr>
          <w:lang w:val="pt_PT" w:bidi="pt_PT"/>
        </w:rPr>
        <w:t>) lida com o destino de Judá. Ezequias é lembrado por confiar no Senhor enquanto estava sob pressão (</w:t>
      </w:r>
      <w:r>
        <w:rPr>
          <w:lang w:val="pt_PT" w:bidi="pt_PT"/>
        </w:rPr>
        <w:t>18.5–6</w:t>
      </w:r>
      <w:r>
        <w:rPr>
          <w:lang w:val="pt_PT" w:bidi="pt_PT"/>
        </w:rPr>
        <w:t xml:space="preserve">; veja </w:t>
      </w:r>
      <w:r>
        <w:rPr>
          <w:lang w:val="pt_PT" w:bidi="pt_PT"/>
        </w:rPr>
        <w:t>18.13–20.11</w:t>
      </w:r>
      <w:r>
        <w:rPr>
          <w:lang w:val="pt_PT" w:bidi="pt_PT"/>
        </w:rPr>
        <w:t>), e Josias recebe louvor por sua devoção à lei do Senhor (</w:t>
      </w:r>
      <w:r>
        <w:rPr>
          <w:lang w:val="pt_PT" w:bidi="pt_PT"/>
        </w:rPr>
        <w:t>23.19</w:t>
      </w:r>
      <w:r>
        <w:rPr>
          <w:lang w:val="pt_PT" w:bidi="pt_PT"/>
        </w:rPr>
        <w:t xml:space="preserve">; veja </w:t>
      </w:r>
      <w:r>
        <w:rPr>
          <w:lang w:val="pt_PT" w:bidi="pt_PT"/>
        </w:rPr>
        <w:t>22.8–23.25</w:t>
      </w:r>
      <w:r>
        <w:rPr>
          <w:lang w:val="pt_PT" w:bidi="pt_PT"/>
        </w:rPr>
        <w:t>). No entanto, até esses dois reis cometeram erros críticos (</w:t>
      </w:r>
      <w:r>
        <w:rPr>
          <w:lang w:val="pt_PT" w:bidi="pt_PT"/>
        </w:rPr>
        <w:t>20.12–19</w:t>
      </w:r>
      <w:r>
        <w:rPr>
          <w:lang w:val="pt_PT" w:bidi="pt_PT"/>
        </w:rPr>
        <w:t xml:space="preserve">; </w:t>
      </w:r>
      <w:r>
        <w:rPr>
          <w:lang w:val="pt_PT" w:bidi="pt_PT"/>
        </w:rPr>
        <w:t>23.29–30</w:t>
      </w:r>
      <w:r>
        <w:rPr>
          <w:lang w:val="pt_PT" w:bidi="pt_PT"/>
        </w:rPr>
        <w:t xml:space="preserve">; veja </w:t>
      </w:r>
      <w:r>
        <w:rPr>
          <w:lang w:val="pt_PT" w:bidi="pt_PT"/>
        </w:rPr>
        <w:t>2Cr 35.20–25</w:t>
      </w:r>
      <w:r>
        <w:rPr>
          <w:lang w:val="pt_PT" w:bidi="pt_PT"/>
        </w:rPr>
        <w:t>).</w:t>
      </w:r>
    </w:p>
    <w:p>
      <w:pPr/>
      <w:r>
        <w:rPr>
          <w:lang w:val="pt_PT" w:bidi="pt_PT"/>
        </w:rPr>
      </w:r>
      <w:r>
        <w:rPr>
          <w:lang w:val="pt_PT" w:bidi="pt_PT"/>
        </w:rPr>
        <w:t>Após a morte de Josias, os reis finais de Judá fizeram o que era mau aos olhos do Senhor, e o reino do sul foi devastado e finalmente destruído pelo rei Nabucodonosor II da Babilônia (</w:t>
      </w:r>
      <w:r>
        <w:rPr>
          <w:lang w:val="pt_PT" w:bidi="pt_PT"/>
        </w:rPr>
        <w:t>2Rs 23.31–25.21</w:t>
      </w:r>
      <w:r>
        <w:rPr>
          <w:lang w:val="pt_PT" w:bidi="pt_PT"/>
        </w:rPr>
        <w:t xml:space="preserve">). O julgamento profetizado de Deus havia chegado (veja </w:t>
      </w:r>
      <w:r>
        <w:rPr>
          <w:lang w:val="pt_PT" w:bidi="pt_PT"/>
        </w:rPr>
        <w:t>Jr 38.17–23</w:t>
      </w:r>
      <w:r>
        <w:rPr>
          <w:lang w:val="pt_PT" w:bidi="pt_PT"/>
        </w:rPr>
        <w:t>), e o reino glorioso de Israel passou para o reino da memória.</w:t>
      </w:r>
    </w:p>
    <w:p>
      <w:pPr/>
      <w:r>
        <w:rPr>
          <w:lang w:val="pt_PT" w:bidi="pt_PT"/>
        </w:rPr>
      </w:r>
      <w:r>
        <w:rPr>
          <w:lang w:val="pt_PT" w:bidi="pt_PT"/>
        </w:rPr>
        <w:t>O livro de 2 Reis termina com duas notas anexadas. A primeira lida com eventos em Judá após a queda de Jerusalém (</w:t>
      </w:r>
      <w:r>
        <w:rPr>
          <w:lang w:val="pt_PT" w:bidi="pt_PT"/>
        </w:rPr>
        <w:t>2Rs 25.22–26</w:t>
      </w:r>
      <w:r>
        <w:rPr>
          <w:lang w:val="pt_PT" w:bidi="pt_PT"/>
        </w:rPr>
        <w:t>). A segunda descreve a libertação posterior de Joaquim na Babilônia (</w:t>
      </w:r>
      <w:r>
        <w:rPr>
          <w:lang w:val="pt_PT" w:bidi="pt_PT"/>
        </w:rPr>
        <w:t>25.27–30</w:t>
      </w:r>
      <w:r>
        <w:rPr>
          <w:lang w:val="pt_PT" w:bidi="pt_PT"/>
        </w:rPr>
        <w:t>).</w:t>
      </w:r>
    </w:p>
    <w:p>
      <w:pPr>
        <w:pStyle w:val="Heading2"/>
      </w:pPr>
      <w:r>
        <w:rPr>
          <w:lang w:val="pt_PT" w:bidi="pt_PT"/>
        </w:rPr>
        <w:t>Autoria e Data</w:t>
      </w:r>
    </w:p>
    <w:p>
      <w:pPr/>
      <w:r>
        <w:rPr>
          <w:lang w:val="pt_PT" w:bidi="pt_PT"/>
        </w:rPr>
      </w:r>
      <w:r>
        <w:rPr>
          <w:lang w:val="pt_PT" w:bidi="pt_PT"/>
        </w:rPr>
        <w:t xml:space="preserve">O livro de 2 Reis é uma continuação de 1 Reis, escrito pelo mesmo autor, com uma identificação precisa desconhecida. Ele estava bem familiarizado com fontes que o permitiram compor uma história detalhada da monarquia dividida de Israel, e ele tinha informações para avaliar as razões para sucessos e fracassos com base na resposta do povo à aliança mosaica. Seu conhecimento íntimo sobre a história posterior de Judá indica que ele pode ter vivido dentro ou perto de Jerusalém e pode ter sido uma testemunha de muitos dos eventos que trouxeram a queda da cidade. Se ele ainda estava vivo para escrever o apêndice final sobre a libertação de Joaquim (561 a.C., </w:t>
      </w:r>
      <w:r>
        <w:rPr>
          <w:lang w:val="pt_PT" w:bidi="pt_PT"/>
        </w:rPr>
        <w:t>25.25–30</w:t>
      </w:r>
      <w:r>
        <w:rPr>
          <w:lang w:val="pt_PT" w:bidi="pt_PT"/>
        </w:rPr>
        <w:t>) é incerto. Se não, esses versos foram adicionados por alguém bem familiarizado com 2 Reis e de um espírito próximo com o escritor principal. Uma tradição sustenta que o único autor de 1–2 Reis era Jeremias e que ele foi levado para a Babilônia durante o retorno de Nabucodonosor de uma campanha no Egito (por volta de 568 a.C.) e viveu lá até aos noventa anos.</w:t>
      </w:r>
    </w:p>
    <w:p>
      <w:pPr/>
      <w:r>
        <w:rPr>
          <w:lang w:val="pt_PT" w:bidi="pt_PT"/>
        </w:rPr>
      </w:r>
      <w:r>
        <w:rPr>
          <w:lang w:val="pt_PT" w:bidi="pt_PT"/>
        </w:rPr>
        <w:t>Com base nas informações nos capítulos finais, a composição final de 2 Reis provavelmente ocorreu logo após a queda de Jerusalém em 586 a.C., com o apêndice final do livro adicionado logo após a morte de Nabucodonosor II em 562 a.C.</w:t>
      </w:r>
    </w:p>
    <w:p>
      <w:pPr>
        <w:pStyle w:val="Heading2"/>
      </w:pPr>
      <w:r>
        <w:rPr>
          <w:lang w:val="pt_PT" w:bidi="pt_PT"/>
        </w:rPr>
        <w:t>Cronologia</w:t>
      </w:r>
    </w:p>
    <w:p>
      <w:pPr/>
      <w:r>
        <w:rPr>
          <w:lang w:val="pt_PT" w:bidi="pt_PT"/>
        </w:rPr>
      </w:r>
      <w:r>
        <w:rPr>
          <w:lang w:val="pt_PT" w:bidi="pt_PT"/>
        </w:rPr>
        <w:t>2 Reis está cheio de informações cronológicas sobre os reis de Israel e Judá, mas nenhuma destas informações nos dá datas absolutas. Obtemos datas absolutas comparando os registros de Israel com os registros das nações vizinhas (Assíria, Babilônia e Egito) e com estimativas astronômicas. Uma harmonia notável é encontrada entre os registros, o que serve como evidência de que os relatos de Israel são historicamente corretos e precisos.</w:t>
      </w:r>
    </w:p>
    <w:p>
      <w:pPr>
        <w:pStyle w:val="Heading2"/>
      </w:pPr>
      <w:r>
        <w:rPr>
          <w:lang w:val="pt_PT" w:bidi="pt_PT"/>
        </w:rPr>
        <w:t>Significado e mensagem</w:t>
      </w:r>
    </w:p>
    <w:p>
      <w:pPr/>
      <w:r>
        <w:rPr>
          <w:lang w:val="pt_PT" w:bidi="pt_PT"/>
        </w:rPr>
      </w:r>
      <w:r>
        <w:rPr>
          <w:lang w:val="pt_PT" w:bidi="pt_PT"/>
        </w:rPr>
        <w:t>Cada rei da monarquia dividida é avaliado com base em sua fidelidade (ou falta dela) a Deus. Eles “fizeram o que era agradável aos olhos do Senhor” ou “fizeram o que era mau aos olhos do Senhor”.</w:t>
      </w:r>
    </w:p>
    <w:p>
      <w:pPr/>
      <w:r>
        <w:rPr>
          <w:lang w:val="pt_PT" w:bidi="pt_PT"/>
        </w:rPr>
      </w:r>
      <w:r>
        <w:rPr>
          <w:lang w:val="pt_PT" w:bidi="pt_PT"/>
        </w:rPr>
        <w:t>Os reis de Israel eram consistentemente malignos. Eles “seguiram o exemplo de Jeroboão, filho de Nebate, continuando os pecados que Jeroboão havia levado Israel a cometer” (</w:t>
      </w:r>
      <w:r>
        <w:rPr>
          <w:lang w:val="pt_PT" w:bidi="pt_PT"/>
        </w:rPr>
        <w:t>13.2</w:t>
      </w:r>
      <w:r>
        <w:rPr>
          <w:lang w:val="pt_PT" w:bidi="pt_PT"/>
        </w:rPr>
        <w:t>,</w:t>
      </w:r>
      <w:r>
        <w:rPr>
          <w:lang w:val="pt_PT" w:bidi="pt_PT"/>
        </w:rPr>
        <w:t>11</w:t>
      </w:r>
      <w:r>
        <w:rPr>
          <w:lang w:val="pt_PT" w:bidi="pt_PT"/>
        </w:rPr>
        <w:t xml:space="preserve">; </w:t>
      </w:r>
      <w:r>
        <w:rPr>
          <w:lang w:val="pt_PT" w:bidi="pt_PT"/>
        </w:rPr>
        <w:t>14.24</w:t>
      </w:r>
      <w:r>
        <w:rPr>
          <w:lang w:val="pt_PT" w:bidi="pt_PT"/>
        </w:rPr>
        <w:t xml:space="preserve">; </w:t>
      </w:r>
      <w:r>
        <w:rPr>
          <w:lang w:val="pt_PT" w:bidi="pt_PT"/>
        </w:rPr>
        <w:t>15.9</w:t>
      </w:r>
      <w:r>
        <w:rPr>
          <w:lang w:val="pt_PT" w:bidi="pt_PT"/>
        </w:rPr>
        <w:t xml:space="preserve">; </w:t>
      </w:r>
      <w:r>
        <w:rPr>
          <w:lang w:val="pt_PT" w:bidi="pt_PT"/>
        </w:rPr>
        <w:t>17.2</w:t>
      </w:r>
      <w:r>
        <w:rPr>
          <w:lang w:val="pt_PT" w:bidi="pt_PT"/>
        </w:rPr>
        <w:t xml:space="preserve">). Muitos dos reis de Judá recebem censura semelhante (veja, por exemplo, </w:t>
      </w:r>
      <w:r>
        <w:rPr>
          <w:lang w:val="pt_PT" w:bidi="pt_PT"/>
        </w:rPr>
        <w:t>8.18</w:t>
      </w:r>
      <w:r>
        <w:rPr>
          <w:lang w:val="pt_PT" w:bidi="pt_PT"/>
        </w:rPr>
        <w:t>). Manassés, em especial, é condenado por sua idolatria e apostasia desenfreadas (</w:t>
      </w:r>
      <w:r>
        <w:rPr>
          <w:lang w:val="pt_PT" w:bidi="pt_PT"/>
        </w:rPr>
        <w:t>21.2–9</w:t>
      </w:r>
      <w:r>
        <w:rPr>
          <w:lang w:val="pt_PT" w:bidi="pt_PT"/>
        </w:rPr>
        <w:t>), e seu exemplo é seguido por vários reis após ele (</w:t>
      </w:r>
      <w:r>
        <w:rPr>
          <w:lang w:val="pt_PT" w:bidi="pt_PT"/>
        </w:rPr>
        <w:t>21.20</w:t>
      </w:r>
      <w:r>
        <w:rPr>
          <w:lang w:val="pt_PT" w:bidi="pt_PT"/>
        </w:rPr>
        <w:t xml:space="preserve">; </w:t>
      </w:r>
      <w:r>
        <w:rPr>
          <w:lang w:val="pt_PT" w:bidi="pt_PT"/>
        </w:rPr>
        <w:t>23.32</w:t>
      </w:r>
      <w:r>
        <w:rPr>
          <w:lang w:val="pt_PT" w:bidi="pt_PT"/>
        </w:rPr>
        <w:t>,</w:t>
      </w:r>
      <w:r>
        <w:rPr>
          <w:lang w:val="pt_PT" w:bidi="pt_PT"/>
        </w:rPr>
        <w:t>37</w:t>
      </w:r>
      <w:r>
        <w:rPr>
          <w:lang w:val="pt_PT" w:bidi="pt_PT"/>
        </w:rPr>
        <w:t xml:space="preserve">; </w:t>
      </w:r>
      <w:r>
        <w:rPr>
          <w:lang w:val="pt_PT" w:bidi="pt_PT"/>
        </w:rPr>
        <w:t>24.9</w:t>
      </w:r>
      <w:r>
        <w:rPr>
          <w:lang w:val="pt_PT" w:bidi="pt_PT"/>
        </w:rPr>
        <w:t>,</w:t>
      </w:r>
      <w:r>
        <w:rPr>
          <w:lang w:val="pt_PT" w:bidi="pt_PT"/>
        </w:rPr>
        <w:t>19</w:t>
      </w:r>
      <w:r>
        <w:rPr>
          <w:lang w:val="pt_PT" w:bidi="pt_PT"/>
        </w:rPr>
        <w:t>).</w:t>
      </w:r>
    </w:p>
    <w:p>
      <w:pPr/>
      <w:r>
        <w:rPr>
          <w:lang w:val="pt_PT" w:bidi="pt_PT"/>
        </w:rPr>
      </w:r>
      <w:r>
        <w:rPr>
          <w:lang w:val="pt_PT" w:bidi="pt_PT"/>
        </w:rPr>
        <w:t>Vários reis de Judá são elogiados, no entanto, por fazerem “o que era agradável aos olhos do Senhor” (</w:t>
      </w:r>
      <w:r>
        <w:rPr>
          <w:lang w:val="pt_PT" w:bidi="pt_PT"/>
        </w:rPr>
        <w:t>12.2</w:t>
      </w:r>
      <w:r>
        <w:rPr>
          <w:lang w:val="pt_PT" w:bidi="pt_PT"/>
        </w:rPr>
        <w:t xml:space="preserve">; </w:t>
      </w:r>
      <w:r>
        <w:rPr>
          <w:lang w:val="pt_PT" w:bidi="pt_PT"/>
        </w:rPr>
        <w:t>14.3</w:t>
      </w:r>
      <w:r>
        <w:rPr>
          <w:lang w:val="pt_PT" w:bidi="pt_PT"/>
        </w:rPr>
        <w:t xml:space="preserve">; </w:t>
      </w:r>
      <w:r>
        <w:rPr>
          <w:lang w:val="pt_PT" w:bidi="pt_PT"/>
        </w:rPr>
        <w:t>15.3</w:t>
      </w:r>
      <w:r>
        <w:rPr>
          <w:lang w:val="pt_PT" w:bidi="pt_PT"/>
        </w:rPr>
        <w:t>,</w:t>
      </w:r>
      <w:r>
        <w:rPr>
          <w:lang w:val="pt_PT" w:bidi="pt_PT"/>
        </w:rPr>
        <w:t>34</w:t>
      </w:r>
      <w:r>
        <w:rPr>
          <w:lang w:val="pt_PT" w:bidi="pt_PT"/>
        </w:rPr>
        <w:t xml:space="preserve">; </w:t>
      </w:r>
      <w:r>
        <w:rPr>
          <w:lang w:val="pt_PT" w:bidi="pt_PT"/>
        </w:rPr>
        <w:t>18.3</w:t>
      </w:r>
      <w:r>
        <w:rPr>
          <w:lang w:val="pt_PT" w:bidi="pt_PT"/>
        </w:rPr>
        <w:t xml:space="preserve">; </w:t>
      </w:r>
      <w:r>
        <w:rPr>
          <w:lang w:val="pt_PT" w:bidi="pt_PT"/>
        </w:rPr>
        <w:t>22.2</w:t>
      </w:r>
      <w:r>
        <w:rPr>
          <w:lang w:val="pt_PT" w:bidi="pt_PT"/>
        </w:rPr>
        <w:t>). Tais homens estavam interessados pela manutenção e reparo do Templo (</w:t>
      </w:r>
      <w:r>
        <w:rPr>
          <w:lang w:val="pt_PT" w:bidi="pt_PT"/>
        </w:rPr>
        <w:t>12.6–16</w:t>
      </w:r>
      <w:r>
        <w:rPr>
          <w:lang w:val="pt_PT" w:bidi="pt_PT"/>
        </w:rPr>
        <w:t xml:space="preserve">; </w:t>
      </w:r>
      <w:r>
        <w:rPr>
          <w:lang w:val="pt_PT" w:bidi="pt_PT"/>
        </w:rPr>
        <w:t>22.3–7</w:t>
      </w:r>
      <w:r>
        <w:rPr>
          <w:lang w:val="pt_PT" w:bidi="pt_PT"/>
        </w:rPr>
        <w:t>) e pela obediência aos preceitos da palavra de Deus (</w:t>
      </w:r>
      <w:r>
        <w:rPr>
          <w:lang w:val="pt_PT" w:bidi="pt_PT"/>
        </w:rPr>
        <w:t>18.6</w:t>
      </w:r>
      <w:r>
        <w:rPr>
          <w:lang w:val="pt_PT" w:bidi="pt_PT"/>
        </w:rPr>
        <w:t xml:space="preserve">; </w:t>
      </w:r>
      <w:r>
        <w:rPr>
          <w:lang w:val="pt_PT" w:bidi="pt_PT"/>
        </w:rPr>
        <w:t>22.8–13</w:t>
      </w:r>
      <w:r>
        <w:rPr>
          <w:lang w:val="pt_PT" w:bidi="pt_PT"/>
        </w:rPr>
        <w:t xml:space="preserve">; </w:t>
      </w:r>
      <w:r>
        <w:rPr>
          <w:lang w:val="pt_PT" w:bidi="pt_PT"/>
        </w:rPr>
        <w:t>23.1–3</w:t>
      </w:r>
      <w:r>
        <w:rPr>
          <w:lang w:val="pt_PT" w:bidi="pt_PT"/>
        </w:rPr>
        <w:t>). Ezequias e Josias recebem elogio especial: Ezequias por sua confiança no Senhor e sua honra à palavra de Deus (</w:t>
      </w:r>
      <w:r>
        <w:rPr>
          <w:lang w:val="pt_PT" w:bidi="pt_PT"/>
        </w:rPr>
        <w:t>18.5–6</w:t>
      </w:r>
      <w:r>
        <w:rPr>
          <w:lang w:val="pt_PT" w:bidi="pt_PT"/>
        </w:rPr>
        <w:t>), e Josias por sua alta consideração pela lei de Moisés (</w:t>
      </w:r>
      <w:r>
        <w:rPr>
          <w:lang w:val="pt_PT" w:bidi="pt_PT"/>
        </w:rPr>
        <w:t>23.25</w:t>
      </w:r>
      <w:r>
        <w:rPr>
          <w:lang w:val="pt_PT" w:bidi="pt_PT"/>
        </w:rPr>
        <w:t xml:space="preserve">). A implicação é clara. O povo de Deus deve viver de acordo com os altos padrões da palavra de Deus, para que eles possam fazer o que é “agradável aos olhos de Deus” (cp. </w:t>
      </w:r>
      <w:r>
        <w:rPr>
          <w:lang w:val="pt_PT" w:bidi="pt_PT"/>
        </w:rPr>
        <w:t>Sl 119.9–11</w:t>
      </w:r>
      <w:r>
        <w:rPr>
          <w:lang w:val="pt_PT" w:bidi="pt_PT"/>
        </w:rPr>
        <w:t xml:space="preserve">, </w:t>
      </w:r>
      <w:r>
        <w:rPr>
          <w:lang w:val="pt_PT" w:bidi="pt_PT"/>
        </w:rPr>
        <w:t>111</w:t>
      </w:r>
      <w:r>
        <w:rPr>
          <w:lang w:val="pt_PT" w:bidi="pt_PT"/>
        </w:rPr>
        <w:t xml:space="preserve">; </w:t>
      </w:r>
      <w:r>
        <w:rPr>
          <w:lang w:val="pt_PT" w:bidi="pt_PT"/>
        </w:rPr>
        <w:t>2Tm 3.16–17</w:t>
      </w:r>
      <w:r>
        <w:rPr>
          <w:lang w:val="pt_PT" w:bidi="pt_PT"/>
        </w:rPr>
        <w:t>).</w:t>
      </w:r>
    </w:p>
    <w:p>
      <w:pPr/>
      <w:r>
        <w:rPr>
          <w:lang w:val="pt_PT" w:bidi="pt_PT"/>
        </w:rPr>
      </w:r>
      <w:r>
        <w:rPr>
          <w:lang w:val="pt_PT" w:bidi="pt_PT"/>
        </w:rPr>
        <w:t>A proeminência dada aos últimos dias do grande profeta Elias (</w:t>
      </w:r>
      <w:r>
        <w:rPr>
          <w:lang w:val="pt_PT" w:bidi="pt_PT"/>
        </w:rPr>
        <w:t>1.3–17</w:t>
      </w:r>
      <w:r>
        <w:rPr>
          <w:lang w:val="pt_PT" w:bidi="pt_PT"/>
        </w:rPr>
        <w:t xml:space="preserve">; </w:t>
      </w:r>
      <w:r>
        <w:rPr>
          <w:lang w:val="pt_PT" w:bidi="pt_PT"/>
        </w:rPr>
        <w:t>2.1–11</w:t>
      </w:r>
      <w:r>
        <w:rPr>
          <w:lang w:val="pt_PT" w:bidi="pt_PT"/>
        </w:rPr>
        <w:t>) e ao ministério extraordinário de Eliseu (</w:t>
      </w:r>
      <w:r>
        <w:rPr>
          <w:lang w:val="pt_PT" w:bidi="pt_PT"/>
        </w:rPr>
        <w:t>2.12–25</w:t>
      </w:r>
      <w:r>
        <w:rPr>
          <w:lang w:val="pt_PT" w:bidi="pt_PT"/>
        </w:rPr>
        <w:t xml:space="preserve">; </w:t>
      </w:r>
      <w:r>
        <w:rPr>
          <w:lang w:val="pt_PT" w:bidi="pt_PT"/>
        </w:rPr>
        <w:t>3.11–19</w:t>
      </w:r>
      <w:r>
        <w:rPr>
          <w:lang w:val="pt_PT" w:bidi="pt_PT"/>
        </w:rPr>
        <w:t xml:space="preserve">; </w:t>
      </w:r>
      <w:r>
        <w:rPr>
          <w:lang w:val="pt_PT" w:bidi="pt_PT"/>
        </w:rPr>
        <w:t>4.1–7:2</w:t>
      </w:r>
      <w:r>
        <w:rPr>
          <w:lang w:val="pt_PT" w:bidi="pt_PT"/>
        </w:rPr>
        <w:t xml:space="preserve">; </w:t>
      </w:r>
      <w:r>
        <w:rPr>
          <w:lang w:val="pt_PT" w:bidi="pt_PT"/>
        </w:rPr>
        <w:t>8.1–2</w:t>
      </w:r>
      <w:r>
        <w:rPr>
          <w:lang w:val="pt_PT" w:bidi="pt_PT"/>
        </w:rPr>
        <w:t>) enfatiza a necessidade de proclamar as palavras de Deus aos outros (</w:t>
      </w:r>
      <w:r>
        <w:rPr>
          <w:lang w:val="pt_PT" w:bidi="pt_PT"/>
        </w:rPr>
        <w:t>Atos 20.18–21</w:t>
      </w:r>
      <w:r>
        <w:rPr>
          <w:lang w:val="pt_PT" w:bidi="pt_PT"/>
        </w:rPr>
        <w:t xml:space="preserve">; </w:t>
      </w:r>
      <w:r>
        <w:rPr>
          <w:lang w:val="pt_PT" w:bidi="pt_PT"/>
        </w:rPr>
        <w:t>2 Tm 2.15</w:t>
      </w:r>
      <w:r>
        <w:rPr>
          <w:lang w:val="pt_PT" w:bidi="pt_PT"/>
        </w:rPr>
        <w:t xml:space="preserve">; </w:t>
      </w:r>
      <w:r>
        <w:rPr>
          <w:lang w:val="pt_PT" w:bidi="pt_PT"/>
        </w:rPr>
        <w:t>4.2</w:t>
      </w:r>
      <w:r>
        <w:rPr>
          <w:lang w:val="pt_PT" w:bidi="pt_PT"/>
        </w:rPr>
        <w:t>) para que eles possam entrar em relacionamento de aliança com o Senhor (</w:t>
      </w:r>
      <w:r>
        <w:rPr>
          <w:lang w:val="pt_PT" w:bidi="pt_PT"/>
        </w:rPr>
        <w:t>2Co 3.4–6</w:t>
      </w:r>
      <w:r>
        <w:rPr>
          <w:lang w:val="pt_PT" w:bidi="pt_PT"/>
        </w:rPr>
        <w:t>).</w:t>
      </w:r>
    </w:p>
    <w:p>
      <w:pPr/>
      <w:r>
        <w:rPr>
          <w:lang w:val="pt_PT" w:bidi="pt_PT"/>
        </w:rPr>
      </w:r>
      <w:r>
        <w:rPr>
          <w:lang w:val="pt_PT" w:bidi="pt_PT"/>
        </w:rPr>
        <w:t>Finalmente, os fracassos até dos bons reis lembram ao povo de Deus de ser firmemente fiel ao Senhor e servi-lo. Então suas vidas podem ser preenchidas com coisas boas (</w:t>
      </w:r>
      <w:r>
        <w:rPr>
          <w:lang w:val="pt_PT" w:bidi="pt_PT"/>
        </w:rPr>
        <w:t>Sl 84.11</w:t>
      </w:r>
      <w:r>
        <w:rPr>
          <w:lang w:val="pt_PT" w:bidi="pt_PT"/>
        </w:rPr>
        <w:t xml:space="preserve">; </w:t>
      </w:r>
      <w:r>
        <w:rPr>
          <w:lang w:val="pt_PT" w:bidi="pt_PT"/>
        </w:rPr>
        <w:t>Rm 14.7–8</w:t>
      </w:r>
      <w:r>
        <w:rPr>
          <w:lang w:val="pt_PT" w:bidi="pt_PT"/>
        </w:rPr>
        <w:t>), e quando eles se apresentarem diante de Deus para julgamento (</w:t>
      </w:r>
      <w:r>
        <w:rPr>
          <w:lang w:val="pt_PT" w:bidi="pt_PT"/>
        </w:rPr>
        <w:t>Rm 14.10–11</w:t>
      </w:r>
      <w:r>
        <w:rPr>
          <w:lang w:val="pt_PT" w:bidi="pt_PT"/>
        </w:rPr>
        <w:t xml:space="preserve">; </w:t>
      </w:r>
      <w:r>
        <w:rPr>
          <w:lang w:val="pt_PT" w:bidi="pt_PT"/>
        </w:rPr>
        <w:t>2Co 5.10</w:t>
      </w:r>
      <w:r>
        <w:rPr>
          <w:lang w:val="pt_PT" w:bidi="pt_PT"/>
        </w:rPr>
        <w:t>), ele os recompensará e os louvará (</w:t>
      </w:r>
      <w:r>
        <w:rPr>
          <w:lang w:val="pt_PT" w:bidi="pt_PT"/>
        </w:rPr>
        <w:t>2 Tm 4.7–8</w:t>
      </w:r>
      <w:r>
        <w:rPr>
          <w:lang w:val="pt_PT" w:bidi="pt_PT"/>
        </w:rPr>
        <w:t xml:space="preserve">; </w:t>
      </w:r>
      <w:r>
        <w:rPr>
          <w:lang w:val="pt_PT" w:bidi="pt_PT"/>
        </w:rPr>
        <w:t>Ap 2.10</w:t>
      </w:r>
      <w:r>
        <w:rPr>
          <w:lang w:val="pt_PT" w:bidi="pt_PT"/>
        </w:rPr>
        <w:t xml:space="preserve">; veja </w:t>
      </w:r>
      <w:r>
        <w:rPr>
          <w:lang w:val="pt_PT" w:bidi="pt_PT"/>
        </w:rPr>
        <w:t>Mt 25.23</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