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Habacuque</w:t>
      </w:r>
      <w:r>
        <w:rPr>
          <w:lang w:val="pt_PT" w:bidi="pt_PT"/>
        </w:rPr>
      </w:r>
    </w:p>
    <w:p>
      <w:pPr/>
      <w:r>
        <w:rPr>
          <w:lang w:val="pt_PT" w:bidi="pt_PT"/>
        </w:rPr>
      </w:r>
      <w:r>
        <w:rPr>
          <w:lang w:val="pt_PT" w:bidi="pt_PT"/>
        </w:rPr>
        <w:t>“Por que você permite a injustiça?” Habacuque perguntou a Deus. “Por que você tolera o mal?” Deus não respondeu diretamente às perguntas de Habacuque. Em vez disso, assim como fez com Jó, Deus deu a Habacuque uma visão de sua divindade. Quer o profeta entendesse ou não os caminhos de Deus, ele podia confiar nele com segurança. As perguntas de Habacuque ecoam nos corações de todas as pessoas tementes a Deus. O livro de Habacuque não oferece respostas fáceis para o problema do mal no mundo. Em vez disso, fornece razões sólidas para exercer fé no Deus soberano, santo e justo, que, em última análise, trará justiça ao seu mundo.</w:t>
      </w:r>
    </w:p>
    <w:p>
      <w:pPr>
        <w:pStyle w:val="Heading2"/>
      </w:pPr>
      <w:r>
        <w:rPr>
          <w:lang w:val="pt_PT" w:bidi="pt_PT"/>
        </w:rPr>
        <w:t>Cenário</w:t>
      </w:r>
    </w:p>
    <w:p>
      <w:pPr/>
      <w:r>
        <w:rPr>
          <w:lang w:val="pt_PT" w:bidi="pt_PT"/>
        </w:rPr>
      </w:r>
      <w:r>
        <w:rPr>
          <w:lang w:val="pt_PT" w:bidi="pt_PT"/>
        </w:rPr>
        <w:t>Habacuque viveu durante uma época em que Judá estava há muito tempo sob o poder da Assíria. O Império Assírio havia engolido a maior parte do antigo Oriente Próximo, desde a Mesopotâmia até a cidade capital egípcia de Tebas. Mas, nos dias de Habacuque (final dos anos 600 a.C.), a Assíria estava mostrando sinais de fraqueza que acabariam por selar seu destino. Após concluir campanhas militares em meados dos anos 640 a.C., o rei assírio Assurbanípal tornou-se preocupado com atividades literárias e artísticas. Sua crescente desatenção à administração de seu império trouxe fraqueza no exterior e revoltas internas.</w:t>
      </w:r>
    </w:p>
    <w:p>
      <w:pPr/>
      <w:r>
        <w:rPr>
          <w:lang w:val="pt_PT" w:bidi="pt_PT"/>
        </w:rPr>
      </w:r>
      <w:r>
        <w:rPr>
          <w:lang w:val="pt_PT" w:bidi="pt_PT"/>
        </w:rPr>
        <w:t>Com a morte de Assurbanípal, a Assíria enfrentou uma nova ameaça. Na Babilônia, o rei Nabopolassar (626–605 a.C.) declarou sua independência da Assíria e lançou as bases para um império Neo-Babilônico que duraria quase um século (626–539 a.C.). Nabopolassar conquistou uma a uma das principais cidades da Assíria. A cidade capital de Nínive caiu em 612 a.C., e as forças assírias restantes foram posteriormente derrotadas em Harã (609 a.C.) e Carquemis (605 a.C.).</w:t>
      </w:r>
    </w:p>
    <w:p>
      <w:pPr/>
      <w:r>
        <w:rPr>
          <w:lang w:val="pt_PT" w:bidi="pt_PT"/>
        </w:rPr>
      </w:r>
      <w:r>
        <w:rPr>
          <w:lang w:val="pt_PT" w:bidi="pt_PT"/>
        </w:rPr>
        <w:t>Quando o filho de Nabopolassar, Nabucodonosor II (605–562 a.C.), o sucedeu, seu império se estendeu por vastas porções do antigo Oriente Próximo. Nabucodonosor lançou uma série de campanhas contra o reino de Judá, atacando Jerusalém com sucesso em três ocasiões e levando muitos de seus habitantes à escravidão. O último desses ataques (586 a.C.) resultou na queda final do reino de Judá.</w:t>
      </w:r>
    </w:p>
    <w:p>
      <w:pPr/>
      <w:r>
        <w:rPr>
          <w:lang w:val="pt_PT" w:bidi="pt_PT"/>
        </w:rPr>
      </w:r>
      <w:r>
        <w:rPr>
          <w:lang w:val="pt_PT" w:bidi="pt_PT"/>
        </w:rPr>
        <w:t xml:space="preserve">Exceto pelos anos finais do piedoso rei Josias (640–609 a.C.), a violência e a injustiça caracterizaram a sociedade judaica desde o reinado maligno de Manassés (697–642 a.C.) até a queda de Jerusalém (586 a.C.). De muitas maneiras, Manassés foi o oposto de seu piedoso pai, Ezequias (veja </w:t>
      </w:r>
      <w:r>
        <w:rPr>
          <w:lang w:val="pt_PT" w:bidi="pt_PT"/>
        </w:rPr>
        <w:t>2Rs 21.1–9</w:t>
      </w:r>
      <w:r>
        <w:rPr>
          <w:lang w:val="pt_PT" w:bidi="pt_PT"/>
        </w:rPr>
        <w:t xml:space="preserve">; </w:t>
      </w:r>
      <w:r>
        <w:rPr>
          <w:lang w:val="pt_PT" w:bidi="pt_PT"/>
        </w:rPr>
        <w:t>2Cr 33.2–9</w:t>
      </w:r>
      <w:r>
        <w:rPr>
          <w:lang w:val="pt_PT" w:bidi="pt_PT"/>
        </w:rPr>
        <w:t>). Manassés promoveu ativamente ritos pagãos que os colonos pré-israelitas de Canaã haviam praticado. Esta apostasia condenou Judá. O arrependimento posterior de Manassés e suas tentativas de desfazer seus males anteriores (</w:t>
      </w:r>
      <w:r>
        <w:rPr>
          <w:lang w:val="pt_PT" w:bidi="pt_PT"/>
        </w:rPr>
        <w:t>2Cr 33.15–19</w:t>
      </w:r>
      <w:r>
        <w:rPr>
          <w:lang w:val="pt_PT" w:bidi="pt_PT"/>
        </w:rPr>
        <w:t>) não resultaram em mudança duradoura, e seu filho Amom reintroduziu as práticas pagãs (</w:t>
      </w:r>
      <w:r>
        <w:rPr>
          <w:lang w:val="pt_PT" w:bidi="pt_PT"/>
        </w:rPr>
        <w:t>2Rs 21.21–22</w:t>
      </w:r>
      <w:r>
        <w:rPr>
          <w:lang w:val="pt_PT" w:bidi="pt_PT"/>
        </w:rPr>
        <w:t>). Os ministérios subsequentes de profetas como Sofonias, Jeremias e Ezequiel, e os esforços de reforma de Josias (</w:t>
      </w:r>
      <w:r>
        <w:rPr>
          <w:lang w:val="pt_PT" w:bidi="pt_PT"/>
        </w:rPr>
        <w:t>2Cr 34.1–35.19</w:t>
      </w:r>
      <w:r>
        <w:rPr>
          <w:lang w:val="pt_PT" w:bidi="pt_PT"/>
        </w:rPr>
        <w:t>) também não produziram mudança duradoura. Os reis posteriores de Judá foram todos condenados por sua maldade (</w:t>
      </w:r>
      <w:r>
        <w:rPr>
          <w:lang w:val="pt_PT" w:bidi="pt_PT"/>
        </w:rPr>
        <w:t>2Rs 23.32</w:t>
      </w:r>
      <w:r>
        <w:rPr>
          <w:lang w:val="pt_PT" w:bidi="pt_PT"/>
        </w:rPr>
        <w:t>,</w:t>
      </w:r>
      <w:r>
        <w:rPr>
          <w:lang w:val="pt_PT" w:bidi="pt_PT"/>
        </w:rPr>
        <w:t>37</w:t>
      </w:r>
      <w:r>
        <w:rPr>
          <w:lang w:val="pt_PT" w:bidi="pt_PT"/>
        </w:rPr>
        <w:t xml:space="preserve">; </w:t>
      </w:r>
      <w:r>
        <w:rPr>
          <w:lang w:val="pt_PT" w:bidi="pt_PT"/>
        </w:rPr>
        <w:t>24.19</w:t>
      </w:r>
      <w:r>
        <w:rPr>
          <w:lang w:val="pt_PT" w:bidi="pt_PT"/>
        </w:rPr>
        <w:t xml:space="preserve">; </w:t>
      </w:r>
      <w:r>
        <w:rPr>
          <w:lang w:val="pt_PT" w:bidi="pt_PT"/>
        </w:rPr>
        <w:t>Jr 22</w:t>
      </w:r>
      <w:r>
        <w:rPr>
          <w:lang w:val="pt_PT" w:bidi="pt_PT"/>
        </w:rPr>
        <w:t xml:space="preserve">; </w:t>
      </w:r>
      <w:r>
        <w:rPr>
          <w:lang w:val="pt_PT" w:bidi="pt_PT"/>
        </w:rPr>
        <w:t>27.1–22</w:t>
      </w:r>
      <w:r>
        <w:rPr>
          <w:lang w:val="pt_PT" w:bidi="pt_PT"/>
        </w:rPr>
        <w:t xml:space="preserve">; </w:t>
      </w:r>
      <w:r>
        <w:rPr>
          <w:lang w:val="pt_PT" w:bidi="pt_PT"/>
        </w:rPr>
        <w:t>36.30–31</w:t>
      </w:r>
      <w:r>
        <w:rPr>
          <w:lang w:val="pt_PT" w:bidi="pt_PT"/>
        </w:rPr>
        <w:t>). Mesmo durante as reformas de Josias, o povo de Judá permaneceu arraigado em sua apostasia.</w:t>
      </w:r>
    </w:p>
    <w:p>
      <w:pPr/>
      <w:r>
        <w:rPr>
          <w:lang w:val="pt_PT" w:bidi="pt_PT"/>
        </w:rPr>
      </w:r>
      <w:r>
        <w:rPr>
          <w:lang w:val="pt_PT" w:bidi="pt_PT"/>
        </w:rPr>
        <w:t xml:space="preserve">Tanto externamente quanto internamente, a nação de Judá estava em um estado precário. Foi durante este último e trágico período da história de Judá como um estado independente que Habacuque viveu e serviu como profeta (veja </w:t>
      </w:r>
      <w:r>
        <w:rPr>
          <w:lang w:val="pt_PT" w:bidi="pt_PT"/>
        </w:rPr>
        <w:t>Hc 1.2–4</w:t>
      </w:r>
      <w:r>
        <w:rPr>
          <w:lang w:val="pt_PT" w:bidi="pt_PT"/>
        </w:rPr>
        <w:t>).</w:t>
      </w:r>
    </w:p>
    <w:p>
      <w:pPr>
        <w:pStyle w:val="Heading2"/>
      </w:pPr>
      <w:r>
        <w:rPr>
          <w:lang w:val="pt_PT" w:bidi="pt_PT"/>
        </w:rPr>
        <w:t>Resumo</w:t>
      </w:r>
    </w:p>
    <w:p>
      <w:pPr/>
      <w:r>
        <w:rPr>
          <w:lang w:val="pt_PT" w:bidi="pt_PT"/>
        </w:rPr>
      </w:r>
      <w:r>
        <w:rPr>
          <w:lang w:val="pt_PT" w:bidi="pt_PT"/>
        </w:rPr>
        <w:t>A profecia de Habacuque é um diálogo entre Deus e o profeta. Nos versículos iniciais, Habacuque observa a sociedade violenta em que Judá se transformou. Ele não consegue entender por que Deus parece ignorar o pecado de Judá. Habacuque sente que, apesar de seus repetidos clamores, Deus simplesmente não está ouvindo-o (</w:t>
      </w:r>
      <w:r>
        <w:rPr>
          <w:lang w:val="pt_PT" w:bidi="pt_PT"/>
        </w:rPr>
        <w:t>1.2–4</w:t>
      </w:r>
      <w:r>
        <w:rPr>
          <w:lang w:val="pt_PT" w:bidi="pt_PT"/>
        </w:rPr>
        <w:t>). A primeira resposta de Deus é que Ele está prestes a lidar com a violência de Judá, trazendo um povo ainda mais violento, os babilônios, para julgá-los (</w:t>
      </w:r>
      <w:r>
        <w:rPr>
          <w:lang w:val="pt_PT" w:bidi="pt_PT"/>
        </w:rPr>
        <w:t>1.5–11</w:t>
      </w:r>
      <w:r>
        <w:rPr>
          <w:lang w:val="pt_PT" w:bidi="pt_PT"/>
        </w:rPr>
        <w:t>).</w:t>
      </w:r>
    </w:p>
    <w:p>
      <w:pPr/>
      <w:r>
        <w:rPr>
          <w:lang w:val="pt_PT" w:bidi="pt_PT"/>
        </w:rPr>
      </w:r>
      <w:r>
        <w:rPr>
          <w:lang w:val="pt_PT" w:bidi="pt_PT"/>
        </w:rPr>
        <w:t>Esta resposta deixa Habacuque ainda mais perplexo (</w:t>
      </w:r>
      <w:r>
        <w:rPr>
          <w:lang w:val="pt_PT" w:bidi="pt_PT"/>
        </w:rPr>
        <w:t>1.12–2.1</w:t>
      </w:r>
      <w:r>
        <w:rPr>
          <w:lang w:val="pt_PT" w:bidi="pt_PT"/>
        </w:rPr>
        <w:t>). Judá era realmente perverso, mas por que Deus usaria pessoas ainda mais perversas para castigar seu próprio povo? A resposta de Deus a esta pergunta foca em sua justiça ao punir tanto Judá quanto os babilônios (</w:t>
      </w:r>
      <w:r>
        <w:rPr>
          <w:lang w:val="pt_PT" w:bidi="pt_PT"/>
        </w:rPr>
        <w:t>2.2–5</w:t>
      </w:r>
      <w:r>
        <w:rPr>
          <w:lang w:val="pt_PT" w:bidi="pt_PT"/>
        </w:rPr>
        <w:t>). Ambos falharam em manter os padrões de fé e moralidade de Deus, e ambos mereceram o julgamento de Deus. Em uma série de cinco canções de escárnio (</w:t>
      </w:r>
      <w:r>
        <w:rPr>
          <w:lang w:val="pt_PT" w:bidi="pt_PT"/>
        </w:rPr>
        <w:t>2.6–20</w:t>
      </w:r>
      <w:r>
        <w:rPr>
          <w:lang w:val="pt_PT" w:bidi="pt_PT"/>
        </w:rPr>
        <w:t>), Deus lista suas acusações contra todos os que são corruptos e praticam injustiça. Sem dúvida, isso incluía os babilônios; mesmo que Deus esteja usando pessoas para realizar seus propósitos, essas mesmas pessoas ainda são responsáveis por viver de acordo com os padrões éticos de Deus. Se não o fizerem, não poderão escapar do castigo.</w:t>
      </w:r>
    </w:p>
    <w:p>
      <w:pPr/>
      <w:r>
        <w:rPr>
          <w:lang w:val="pt_PT" w:bidi="pt_PT"/>
        </w:rPr>
      </w:r>
      <w:r>
        <w:rPr>
          <w:lang w:val="pt_PT" w:bidi="pt_PT"/>
        </w:rPr>
        <w:t>O capítulo final começa com a oração de Habacuque pela misericórdia de Deus sobre Judá, mesmo enquanto Ele os castiga (</w:t>
      </w:r>
      <w:r>
        <w:rPr>
          <w:lang w:val="pt_PT" w:bidi="pt_PT"/>
        </w:rPr>
        <w:t>3.1–2</w:t>
      </w:r>
      <w:r>
        <w:rPr>
          <w:lang w:val="pt_PT" w:bidi="pt_PT"/>
        </w:rPr>
        <w:t>). Habacuque então registra um salmo de louvor que reflete poeticamente sobre o relato da redenção de seu povo por Deus durante o Êxodo (</w:t>
      </w:r>
      <w:r>
        <w:rPr>
          <w:lang w:val="pt_PT" w:bidi="pt_PT"/>
        </w:rPr>
        <w:t>3.3–15</w:t>
      </w:r>
      <w:r>
        <w:rPr>
          <w:lang w:val="pt_PT" w:bidi="pt_PT"/>
        </w:rPr>
        <w:t>). Habacuque encerra com uma declaração de compromisso e uma nota de louvor (</w:t>
      </w:r>
      <w:r>
        <w:rPr>
          <w:lang w:val="pt_PT" w:bidi="pt_PT"/>
        </w:rPr>
        <w:t>3.16–19</w:t>
      </w:r>
      <w:r>
        <w:rPr>
          <w:lang w:val="pt_PT" w:bidi="pt_PT"/>
        </w:rPr>
        <w:t>).</w:t>
      </w:r>
    </w:p>
    <w:p>
      <w:pPr>
        <w:pStyle w:val="Heading2"/>
      </w:pPr>
      <w:r>
        <w:rPr>
          <w:lang w:val="pt_PT" w:bidi="pt_PT"/>
        </w:rPr>
        <w:t>Autor</w:t>
      </w:r>
    </w:p>
    <w:p>
      <w:pPr/>
      <w:r>
        <w:rPr>
          <w:lang w:val="pt_PT" w:bidi="pt_PT"/>
        </w:rPr>
      </w:r>
      <w:r>
        <w:rPr>
          <w:lang w:val="pt_PT" w:bidi="pt_PT"/>
        </w:rPr>
        <w:t xml:space="preserve">Nada se sabe sobre Habacuque, exceto que ele foi um profeta de Judá. Um manuscrito de </w:t>
      </w:r>
      <w:r>
        <w:rPr>
          <w:i/>
          <w:lang w:val="pt_PT" w:bidi="pt_PT"/>
        </w:rPr>
        <w:t>Bel e o Dragão</w:t>
      </w:r>
      <w:r>
        <w:rPr>
          <w:lang w:val="pt_PT" w:bidi="pt_PT"/>
        </w:rPr>
        <w:t>, uma história incluída no final do livro de Daniel na tradução grega do Antigo Testamento, identifica Habacuque como um Levita. Se for verdade, isso pode ajudar a explicar as notações musicais no terceiro capítulo (</w:t>
      </w:r>
      <w:r>
        <w:rPr>
          <w:lang w:val="pt_PT" w:bidi="pt_PT"/>
        </w:rPr>
        <w:t>3.1</w:t>
      </w:r>
      <w:r>
        <w:rPr>
          <w:lang w:val="pt_PT" w:bidi="pt_PT"/>
        </w:rPr>
        <w:t>,</w:t>
      </w:r>
      <w:r>
        <w:rPr>
          <w:lang w:val="pt_PT" w:bidi="pt_PT"/>
        </w:rPr>
        <w:t>3</w:t>
      </w:r>
      <w:r>
        <w:rPr>
          <w:lang w:val="pt_PT" w:bidi="pt_PT"/>
        </w:rPr>
        <w:t>,</w:t>
      </w:r>
      <w:r>
        <w:rPr>
          <w:lang w:val="pt_PT" w:bidi="pt_PT"/>
        </w:rPr>
        <w:t>9</w:t>
      </w:r>
      <w:r>
        <w:rPr>
          <w:lang w:val="pt_PT" w:bidi="pt_PT"/>
        </w:rPr>
        <w:t>,</w:t>
      </w:r>
      <w:r>
        <w:rPr>
          <w:lang w:val="pt_PT" w:bidi="pt_PT"/>
        </w:rPr>
        <w:t>13</w:t>
      </w:r>
      <w:r>
        <w:rPr>
          <w:lang w:val="pt_PT" w:bidi="pt_PT"/>
        </w:rPr>
        <w:t>,</w:t>
      </w:r>
      <w:r>
        <w:rPr>
          <w:lang w:val="pt_PT" w:bidi="pt_PT"/>
        </w:rPr>
        <w:t>19</w:t>
      </w:r>
      <w:r>
        <w:rPr>
          <w:lang w:val="pt_PT" w:bidi="pt_PT"/>
        </w:rPr>
        <w:t xml:space="preserve">), já que os líderes de música do Templo eram levitas (veja </w:t>
      </w:r>
      <w:r>
        <w:rPr>
          <w:lang w:val="pt_PT" w:bidi="pt_PT"/>
        </w:rPr>
        <w:t>1Cr 6.31–47</w:t>
      </w:r>
      <w:r>
        <w:rPr>
          <w:lang w:val="pt_PT" w:bidi="pt_PT"/>
        </w:rPr>
        <w:t xml:space="preserve">; </w:t>
      </w:r>
      <w:r>
        <w:rPr>
          <w:lang w:val="pt_PT" w:bidi="pt_PT"/>
        </w:rPr>
        <w:t>25.1–31</w:t>
      </w:r>
      <w:r>
        <w:rPr>
          <w:lang w:val="pt_PT" w:bidi="pt_PT"/>
        </w:rPr>
        <w:t>). O rico uso de linguagem figurativa por Habacuque e sua cuidadosa estrutura composicional indicam sua alta sensibilidade literária. Seu ódio à imoralidade e ao colapso social que o pecado causa também demonstra sua profunda preocupação espiritual para que o povo de Deus viva de acordo com os padrões de Deus.</w:t>
      </w:r>
    </w:p>
    <w:p>
      <w:pPr>
        <w:pStyle w:val="Heading2"/>
      </w:pPr>
      <w:r>
        <w:rPr>
          <w:lang w:val="pt_PT" w:bidi="pt_PT"/>
        </w:rPr>
        <w:t>Data</w:t>
      </w:r>
    </w:p>
    <w:p>
      <w:pPr/>
      <w:r>
        <w:rPr>
          <w:lang w:val="pt_PT" w:bidi="pt_PT"/>
        </w:rPr>
      </w:r>
      <w:r>
        <w:rPr>
          <w:lang w:val="pt_PT" w:bidi="pt_PT"/>
        </w:rPr>
        <w:t>A data da profecia de Habacuque é incerta. As circunstâncias mencionadas no livro se encaixam melhor com um período tardio na história de Judá, mas antes do exílio de Judá para Babilônia; portanto, a profecia é mais provavelmente datada entre cerca de 645 a.C. (perto do final do reinado de Manassés) e 605 a.C. (primeira invasão de Judá pela Babilônia). A queixa de Habacuque sobre a injustiça social (</w:t>
      </w:r>
      <w:r>
        <w:rPr>
          <w:lang w:val="pt_PT" w:bidi="pt_PT"/>
        </w:rPr>
        <w:t>Hc 1.2–4</w:t>
      </w:r>
      <w:r>
        <w:rPr>
          <w:lang w:val="pt_PT" w:bidi="pt_PT"/>
        </w:rPr>
        <w:t>) e sua atenção ao Império Neo-Babilônico (</w:t>
      </w:r>
      <w:r>
        <w:rPr>
          <w:lang w:val="pt_PT" w:bidi="pt_PT"/>
        </w:rPr>
        <w:t>1.5–11</w:t>
      </w:r>
      <w:r>
        <w:rPr>
          <w:lang w:val="pt_PT" w:bidi="pt_PT"/>
        </w:rPr>
        <w:t xml:space="preserve">; </w:t>
      </w:r>
      <w:r>
        <w:rPr>
          <w:lang w:val="pt_PT" w:bidi="pt_PT"/>
        </w:rPr>
        <w:t>2.6–20</w:t>
      </w:r>
      <w:r>
        <w:rPr>
          <w:lang w:val="pt_PT" w:bidi="pt_PT"/>
        </w:rPr>
        <w:t>) também favorecem uma data durante este período.</w:t>
      </w:r>
    </w:p>
    <w:p>
      <w:pPr/>
      <w:r>
        <w:rPr>
          <w:lang w:val="pt_PT" w:bidi="pt_PT"/>
        </w:rPr>
      </w:r>
      <w:r>
        <w:rPr>
          <w:lang w:val="pt_PT" w:bidi="pt_PT"/>
        </w:rPr>
        <w:t>Em relação a uma data mais específica, três posições gerais foram apresentadas. (1) Muitos datam o livro para a época do Rei Jeoaquim (609–598 a.C.), cuja disposição maligna e ações perversas (</w:t>
      </w:r>
      <w:r>
        <w:rPr>
          <w:lang w:val="pt_PT" w:bidi="pt_PT"/>
        </w:rPr>
        <w:t>2Rs 24.1–3</w:t>
      </w:r>
      <w:r>
        <w:rPr>
          <w:lang w:val="pt_PT" w:bidi="pt_PT"/>
        </w:rPr>
        <w:t>) trouxeram tanto profecias condenatórias (</w:t>
      </w:r>
      <w:r>
        <w:rPr>
          <w:lang w:val="pt_PT" w:bidi="pt_PT"/>
        </w:rPr>
        <w:t>Jr 22.18–19</w:t>
      </w:r>
      <w:r>
        <w:rPr>
          <w:lang w:val="pt_PT" w:bidi="pt_PT"/>
        </w:rPr>
        <w:t xml:space="preserve">; </w:t>
      </w:r>
      <w:r>
        <w:rPr>
          <w:lang w:val="pt_PT" w:bidi="pt_PT"/>
        </w:rPr>
        <w:t>26.3–6</w:t>
      </w:r>
      <w:r>
        <w:rPr>
          <w:lang w:val="pt_PT" w:bidi="pt_PT"/>
        </w:rPr>
        <w:t xml:space="preserve">; </w:t>
      </w:r>
      <w:r>
        <w:rPr>
          <w:lang w:val="pt_PT" w:bidi="pt_PT"/>
        </w:rPr>
        <w:t>36.27–32</w:t>
      </w:r>
      <w:r>
        <w:rPr>
          <w:lang w:val="pt_PT" w:bidi="pt_PT"/>
        </w:rPr>
        <w:t>) quanto a ameaça de invasão babilônica (</w:t>
      </w:r>
      <w:r>
        <w:rPr>
          <w:lang w:val="pt_PT" w:bidi="pt_PT"/>
        </w:rPr>
        <w:t>Jr 25</w:t>
      </w:r>
      <w:r>
        <w:rPr>
          <w:lang w:val="pt_PT" w:bidi="pt_PT"/>
        </w:rPr>
        <w:t>). (2) Outros argumentam pelos primeiros dias de Josias (640–609 a.C.), que, antes de encontrar o Livro da Lei em 622 a.C., lidou com a apostasia desenfreada (</w:t>
      </w:r>
      <w:r>
        <w:rPr>
          <w:lang w:val="pt_PT" w:bidi="pt_PT"/>
        </w:rPr>
        <w:t>2Cr 34.1–7</w:t>
      </w:r>
      <w:r>
        <w:rPr>
          <w:lang w:val="pt_PT" w:bidi="pt_PT"/>
        </w:rPr>
        <w:t>). (3) Ainda outros defendem a visão judaica tradicional de que Habacuque viveu durante o tempo do reinado independente de Manassés (686–642 a.C.), cuja maldade (</w:t>
      </w:r>
      <w:r>
        <w:rPr>
          <w:lang w:val="pt_PT" w:bidi="pt_PT"/>
        </w:rPr>
        <w:t>2Rs 21.16–17</w:t>
      </w:r>
      <w:r>
        <w:rPr>
          <w:lang w:val="pt_PT" w:bidi="pt_PT"/>
        </w:rPr>
        <w:t>) e reinstauração do culto cananeu e ritos pagãos (</w:t>
      </w:r>
      <w:r>
        <w:rPr>
          <w:lang w:val="pt_PT" w:bidi="pt_PT"/>
        </w:rPr>
        <w:t>2Rs 21.1–11</w:t>
      </w:r>
      <w:r>
        <w:rPr>
          <w:lang w:val="pt_PT" w:bidi="pt_PT"/>
        </w:rPr>
        <w:t xml:space="preserve">; </w:t>
      </w:r>
      <w:r>
        <w:rPr>
          <w:lang w:val="pt_PT" w:bidi="pt_PT"/>
        </w:rPr>
        <w:t>2Cr 33.1–9</w:t>
      </w:r>
      <w:r>
        <w:rPr>
          <w:lang w:val="pt_PT" w:bidi="pt_PT"/>
        </w:rPr>
        <w:t xml:space="preserve">, </w:t>
      </w:r>
      <w:r>
        <w:rPr>
          <w:lang w:val="pt_PT" w:bidi="pt_PT"/>
        </w:rPr>
        <w:t>19–20</w:t>
      </w:r>
      <w:r>
        <w:rPr>
          <w:lang w:val="pt_PT" w:bidi="pt_PT"/>
        </w:rPr>
        <w:t>) causaram o pronunciamento de Deus sobre a destruição de Judá (</w:t>
      </w:r>
      <w:r>
        <w:rPr>
          <w:lang w:val="pt_PT" w:bidi="pt_PT"/>
        </w:rPr>
        <w:t>2Rs 21.12–15</w:t>
      </w:r>
      <w:r>
        <w:rPr>
          <w:lang w:val="pt_PT" w:bidi="pt_PT"/>
        </w:rPr>
        <w:t>).</w:t>
      </w:r>
    </w:p>
    <w:p>
      <w:pPr>
        <w:pStyle w:val="Heading2"/>
      </w:pPr>
      <w:r>
        <w:rPr>
          <w:lang w:val="pt_PT" w:bidi="pt_PT"/>
        </w:rPr>
        <w:t>Significado e mensagem</w:t>
      </w:r>
    </w:p>
    <w:p>
      <w:pPr/>
      <w:r>
        <w:rPr>
          <w:lang w:val="pt_PT" w:bidi="pt_PT"/>
        </w:rPr>
      </w:r>
      <w:r>
        <w:rPr>
          <w:lang w:val="pt_PT" w:bidi="pt_PT"/>
        </w:rPr>
        <w:t>Quando a violência e a corrupção são abundantes e o mal parece reinar, os fiéis podem ser tentados a se perguntar se Deus realmente se importa ou está no controle. O diálogo de Habacuque nos ajuda a entender que Deus não despreza tais perguntas quando são levadas a Ele em oração com um coração honesto.</w:t>
      </w:r>
    </w:p>
    <w:p>
      <w:pPr/>
      <w:r>
        <w:rPr>
          <w:lang w:val="pt_PT" w:bidi="pt_PT"/>
        </w:rPr>
      </w:r>
      <w:r>
        <w:rPr>
          <w:lang w:val="pt_PT" w:bidi="pt_PT"/>
        </w:rPr>
        <w:t>A profecia de Habacuque reafirma que Deus está no controle da história e que seus atos são sempre justos e corretos. Os crentes devem estar dispostos a aceitar as respostas de Deus e se alegrar em sua vontade, mesmo que pareça completamente estranha ao seu próprio pensamento. Deus realmente vê e se importa profundamente com o que acontece na terra. Embora as pessoas possam não perceber, a mão soberana de Deus está em ação, e ele, em última análise, trará as questões a uma conclusão adequada e justa (</w:t>
      </w:r>
      <w:r>
        <w:rPr>
          <w:lang w:val="pt_PT" w:bidi="pt_PT"/>
        </w:rPr>
        <w:t>Hc 2.2–3</w:t>
      </w:r>
      <w:r>
        <w:rPr>
          <w:lang w:val="pt_PT" w:bidi="pt_PT"/>
        </w:rPr>
        <w:t>,</w:t>
      </w:r>
      <w:r>
        <w:rPr>
          <w:lang w:val="pt_PT" w:bidi="pt_PT"/>
        </w:rPr>
        <w:t>14</w:t>
      </w:r>
      <w:r>
        <w:rPr>
          <w:lang w:val="pt_PT" w:bidi="pt_PT"/>
        </w:rPr>
        <w:t>).</w:t>
      </w:r>
    </w:p>
    <w:p>
      <w:pPr/>
      <w:r>
        <w:rPr>
          <w:lang w:val="pt_PT" w:bidi="pt_PT"/>
        </w:rPr>
      </w:r>
      <w:r>
        <w:rPr>
          <w:lang w:val="pt_PT" w:bidi="pt_PT"/>
        </w:rPr>
        <w:t xml:space="preserve">Os babilônios adoravam o poder bruto que lhes trouxe prosperidade. As acusações de Deus contra os babilônios lembram os leitores de adorar somente a Deus (cf. </w:t>
      </w:r>
      <w:r>
        <w:rPr>
          <w:lang w:val="pt_PT" w:bidi="pt_PT"/>
        </w:rPr>
        <w:t>1Jo 5.21</w:t>
      </w:r>
      <w:r>
        <w:rPr>
          <w:lang w:val="pt_PT" w:bidi="pt_PT"/>
        </w:rPr>
        <w:t>).</w:t>
      </w:r>
    </w:p>
    <w:p>
      <w:pPr/>
      <w:r>
        <w:rPr>
          <w:lang w:val="pt_PT" w:bidi="pt_PT"/>
        </w:rPr>
      </w:r>
      <w:r>
        <w:rPr>
          <w:lang w:val="pt_PT" w:bidi="pt_PT"/>
        </w:rPr>
        <w:t>A mensagem de Deus para Habacuque também enfatiza que a vida santa de fé e fidelidade do crente deve refletir os padrões éticos de Deus (</w:t>
      </w:r>
      <w:r>
        <w:rPr>
          <w:lang w:val="pt_PT" w:bidi="pt_PT"/>
        </w:rPr>
        <w:t>Hc 1.12</w:t>
      </w:r>
      <w:r>
        <w:rPr>
          <w:lang w:val="pt_PT" w:bidi="pt_PT"/>
        </w:rPr>
        <w:t xml:space="preserve">; </w:t>
      </w:r>
      <w:r>
        <w:rPr>
          <w:lang w:val="pt_PT" w:bidi="pt_PT"/>
        </w:rPr>
        <w:t>2.4</w:t>
      </w:r>
      <w:r>
        <w:rPr>
          <w:lang w:val="pt_PT" w:bidi="pt_PT"/>
        </w:rPr>
        <w:t>). Aqueles que confiam e servem ativamente a Deus poderão se alegrar no Senhor (</w:t>
      </w:r>
      <w:r>
        <w:rPr>
          <w:lang w:val="pt_PT" w:bidi="pt_PT"/>
        </w:rPr>
        <w:t>3.18</w:t>
      </w:r>
      <w:r>
        <w:rPr>
          <w:lang w:val="pt_PT" w:bidi="pt_PT"/>
        </w:rPr>
        <w:t xml:space="preserve">; </w:t>
      </w:r>
      <w:r>
        <w:rPr>
          <w:lang w:val="pt_PT" w:bidi="pt_PT"/>
        </w:rPr>
        <w:t>Fp 4.4</w:t>
      </w:r>
      <w:r>
        <w:rPr>
          <w:lang w:val="pt_PT" w:bidi="pt_PT"/>
        </w:rPr>
        <w:t>) e viver triunfantemente sob quaisquer circunstâncias (</w:t>
      </w:r>
      <w:r>
        <w:rPr>
          <w:lang w:val="pt_PT" w:bidi="pt_PT"/>
        </w:rPr>
        <w:t>Hc 2.20</w:t>
      </w:r>
      <w:r>
        <w:rPr>
          <w:lang w:val="pt_PT" w:bidi="pt_PT"/>
        </w:rPr>
        <w:t xml:space="preserve">; </w:t>
      </w:r>
      <w:r>
        <w:rPr>
          <w:lang w:val="pt_PT" w:bidi="pt_PT"/>
        </w:rPr>
        <w:t>3.16–19</w:t>
      </w:r>
      <w:r>
        <w:rPr>
          <w:lang w:val="pt_PT" w:bidi="pt_PT"/>
        </w:rPr>
        <w:t xml:space="preserve">; veja também </w:t>
      </w:r>
      <w:r>
        <w:rPr>
          <w:lang w:val="pt_PT" w:bidi="pt_PT"/>
        </w:rPr>
        <w:t>Rm 1.16–17</w:t>
      </w:r>
      <w:r>
        <w:rPr>
          <w:lang w:val="pt_PT" w:bidi="pt_PT"/>
        </w:rPr>
        <w:t xml:space="preserve">; </w:t>
      </w:r>
      <w:r>
        <w:rPr>
          <w:lang w:val="pt_PT" w:bidi="pt_PT"/>
        </w:rPr>
        <w:t>Gl 3.11</w:t>
      </w:r>
      <w:r>
        <w:rPr>
          <w:lang w:val="pt_PT" w:bidi="pt_PT"/>
        </w:rPr>
        <w:t xml:space="preserve">; </w:t>
      </w:r>
      <w:r>
        <w:rPr>
          <w:lang w:val="pt_PT" w:bidi="pt_PT"/>
        </w:rPr>
        <w:t>Hb 10.35–39</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