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HEB</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Послание к Евреям</w:t>
      </w:r>
      <w:r>
        <w:rPr>
          <w:lang w:val="ru_RU" w:bidi="ru_RU"/>
        </w:rPr>
      </w:r>
    </w:p>
    <w:p>
      <w:pPr/>
      <w:r>
        <w:rPr>
          <w:lang w:val="ru_RU" w:bidi="ru_RU"/>
        </w:rPr>
      </w:r>
      <w:r>
        <w:rPr>
          <w:lang w:val="ru_RU" w:bidi="ru_RU"/>
        </w:rPr>
        <w:t>Встречали ли вы когда-нибудь человека, который отвернулся от Христа и церкви и просто ушёл? Возможно, вы сами изо всех сил старались сохранить свою приверженность христианству перед лицом разочарования, духовного смятения, потери цели в жизни или гонений. Книга Послание к Евреям указывает нам на Христа. Она даёт свет, который помогает христианам ясно увидеть Иисуса и устоять в борьбе.</w:t>
      </w:r>
    </w:p>
    <w:p>
      <w:pPr>
        <w:pStyle w:val="Heading2"/>
      </w:pPr>
      <w:r>
        <w:rPr>
          <w:lang w:val="ru_RU" w:bidi="ru_RU"/>
        </w:rPr>
        <w:t>Исторический контекст</w:t>
      </w:r>
    </w:p>
    <w:p>
      <w:pPr/>
      <w:r>
        <w:rPr>
          <w:lang w:val="ru_RU" w:bidi="ru_RU"/>
        </w:rPr>
      </w:r>
      <w:r>
        <w:rPr>
          <w:lang w:val="ru_RU" w:bidi="ru_RU"/>
        </w:rPr>
        <w:t>По мере того как христианство распространялось по всему Средиземноморью, первые последователи Иисуса Христа столкнулись с серьёзными проблемами. Греко-римское общество не понимало как евреев, так и христиан, и не доверяло им, считая их «атеистами», потому что они не верили в греческих или римских богов. Противостояние христианству возникло также и в традиционном иудаизме. Многие евреи отвергли Иисуса как Мессию. Те, кто обратился к вере во Христа — евреи или язычники — часто платили за это высокую цену, теряя работу, семью, дружбу и другие социальные связи. Преследования христиан были обычным явлением.</w:t>
      </w:r>
    </w:p>
    <w:p>
      <w:pPr/>
      <w:r>
        <w:rPr>
          <w:lang w:val="ru_RU" w:bidi="ru_RU"/>
        </w:rPr>
      </w:r>
      <w:r>
        <w:rPr>
          <w:lang w:val="ru_RU" w:bidi="ru_RU"/>
        </w:rPr>
        <w:t>Верующие, которым было адресовано Послание к Евреям, вероятно, принадлежали к группе домашних церквей в Риме в начале 60-х гг. Христианская община в Риме была основана, скорее всего, в 30-х годах I в., когда люди, присутствовавшие в Иерусалиме на празднике Пятидесятницы (</w:t>
      </w:r>
      <w:r>
        <w:rPr>
          <w:lang w:val="ru_RU" w:bidi="ru_RU"/>
        </w:rPr>
        <w:t>Деян.2:10</w:t>
      </w:r>
      <w:r>
        <w:rPr>
          <w:lang w:val="ru_RU" w:bidi="ru_RU"/>
        </w:rPr>
        <w:t>), вернулись домой. Римские верующие проявили мужество и стойкость (</w:t>
      </w:r>
      <w:r>
        <w:rPr>
          <w:lang w:val="ru_RU" w:bidi="ru_RU"/>
        </w:rPr>
        <w:t>Евр.10:32–34</w:t>
      </w:r>
      <w:r>
        <w:rPr>
          <w:lang w:val="ru_RU" w:bidi="ru_RU"/>
        </w:rPr>
        <w:t>), но к тому времени, когда было написано Послание к Евреям, духовный пыл некоторых остыл (</w:t>
      </w:r>
      <w:r>
        <w:rPr>
          <w:lang w:val="ru_RU" w:bidi="ru_RU"/>
        </w:rPr>
        <w:t>5:11–14</w:t>
      </w:r>
      <w:r>
        <w:rPr>
          <w:lang w:val="ru_RU" w:bidi="ru_RU"/>
        </w:rPr>
        <w:t>), а их богословские взгляды исказились (</w:t>
      </w:r>
      <w:r>
        <w:rPr>
          <w:lang w:val="ru_RU" w:bidi="ru_RU"/>
        </w:rPr>
        <w:t>2:1</w:t>
      </w:r>
      <w:r>
        <w:rPr>
          <w:lang w:val="ru_RU" w:bidi="ru_RU"/>
        </w:rPr>
        <w:t>). Некоторые из них даже оставили Христа и покинули церковь (</w:t>
      </w:r>
      <w:r>
        <w:rPr>
          <w:lang w:val="ru_RU" w:bidi="ru_RU"/>
        </w:rPr>
        <w:t>6:4–8</w:t>
      </w:r>
      <w:r>
        <w:rPr>
          <w:lang w:val="ru_RU" w:bidi="ru_RU"/>
        </w:rPr>
        <w:t>).</w:t>
      </w:r>
    </w:p>
    <w:p>
      <w:pPr>
        <w:pStyle w:val="Heading2"/>
      </w:pPr>
      <w:r>
        <w:rPr>
          <w:lang w:val="ru_RU" w:bidi="ru_RU"/>
        </w:rPr>
        <w:t>Краткое содержание</w:t>
      </w:r>
    </w:p>
    <w:p>
      <w:pPr/>
      <w:r>
        <w:rPr>
          <w:lang w:val="ru_RU" w:bidi="ru_RU"/>
        </w:rPr>
      </w:r>
      <w:r>
        <w:rPr>
          <w:lang w:val="ru_RU" w:bidi="ru_RU"/>
        </w:rPr>
        <w:t xml:space="preserve">Послание к Евреям — это живой, хорошо продуманный пастырский ответ на нужды людей, которые находятся в трудном положении. В стиле проповеди первого века автор чередует </w:t>
      </w:r>
      <w:r>
        <w:rPr>
          <w:i/>
          <w:lang w:val="ru_RU" w:bidi="ru_RU"/>
        </w:rPr>
        <w:t>экспозицию</w:t>
      </w:r>
      <w:r>
        <w:rPr>
          <w:lang w:val="ru_RU" w:bidi="ru_RU"/>
        </w:rPr>
        <w:t xml:space="preserve"> (изложение, предварительный рассказ — прим. пер.), рассказывающую о личности и делах Христа, и </w:t>
      </w:r>
      <w:r>
        <w:rPr>
          <w:i/>
          <w:lang w:val="ru_RU" w:bidi="ru_RU"/>
        </w:rPr>
        <w:t>увещание</w:t>
      </w:r>
      <w:r>
        <w:rPr>
          <w:lang w:val="ru_RU" w:bidi="ru_RU"/>
        </w:rPr>
        <w:t>, призывая слушателей к послушанию и терпению. Посредством подробного рассуждения о Божьем Сыне, а также предупреждая, задавая сложные вопросы, приводя примеры и напоминая о Божьей верности, автор призывает своих читателей упорно следовать за Христом.</w:t>
      </w:r>
    </w:p>
    <w:p>
      <w:pPr/>
      <w:r>
        <w:rPr>
          <w:lang w:val="ru_RU" w:bidi="ru_RU"/>
        </w:rPr>
      </w:r>
      <w:r>
        <w:rPr>
          <w:lang w:val="ru_RU" w:bidi="ru_RU"/>
        </w:rPr>
        <w:t>После введения ко всей проповеди (</w:t>
      </w:r>
      <w:r>
        <w:rPr>
          <w:lang w:val="ru_RU" w:bidi="ru_RU"/>
        </w:rPr>
        <w:t>1:1–4</w:t>
      </w:r>
      <w:r>
        <w:rPr>
          <w:lang w:val="ru_RU" w:bidi="ru_RU"/>
        </w:rPr>
        <w:t>) экспозиция описывает превосходство Христа в двух больших блоках. Первый блок (</w:t>
      </w:r>
      <w:r>
        <w:rPr>
          <w:lang w:val="ru_RU" w:bidi="ru_RU"/>
        </w:rPr>
        <w:t>1:5–2:18</w:t>
      </w:r>
      <w:r>
        <w:rPr>
          <w:lang w:val="ru_RU" w:bidi="ru_RU"/>
        </w:rPr>
        <w:t>) объясняет превосходство Сына над ангелами. Ангелы — это слуги (</w:t>
      </w:r>
      <w:r>
        <w:rPr>
          <w:lang w:val="ru_RU" w:bidi="ru_RU"/>
        </w:rPr>
        <w:t>1:6–7</w:t>
      </w:r>
      <w:r>
        <w:rPr>
          <w:lang w:val="ru_RU" w:bidi="ru_RU"/>
        </w:rPr>
        <w:t xml:space="preserve">, </w:t>
      </w:r>
      <w:r>
        <w:rPr>
          <w:lang w:val="ru_RU" w:bidi="ru_RU"/>
        </w:rPr>
        <w:t>14</w:t>
      </w:r>
      <w:r>
        <w:rPr>
          <w:lang w:val="ru_RU" w:bidi="ru_RU"/>
        </w:rPr>
        <w:t>), но превознесённый Сын (</w:t>
      </w:r>
      <w:r>
        <w:rPr>
          <w:lang w:val="ru_RU" w:bidi="ru_RU"/>
        </w:rPr>
        <w:t>1:13</w:t>
      </w:r>
      <w:r>
        <w:rPr>
          <w:lang w:val="ru_RU" w:bidi="ru_RU"/>
        </w:rPr>
        <w:t>), в силу Своих уникальных отношений с Отцом (</w:t>
      </w:r>
      <w:r>
        <w:rPr>
          <w:lang w:val="ru_RU" w:bidi="ru_RU"/>
        </w:rPr>
        <w:t>1:5</w:t>
      </w:r>
      <w:r>
        <w:rPr>
          <w:lang w:val="ru_RU" w:bidi="ru_RU"/>
        </w:rPr>
        <w:t>), является Господом, Творцом и Хранителем Вселенной; Он — истинный Бог (</w:t>
      </w:r>
      <w:r>
        <w:rPr>
          <w:lang w:val="ru_RU" w:bidi="ru_RU"/>
        </w:rPr>
        <w:t>1:8–12</w:t>
      </w:r>
      <w:r>
        <w:rPr>
          <w:lang w:val="ru_RU" w:bidi="ru_RU"/>
        </w:rPr>
        <w:t>). Автор призывает своих слушателей быть внимательными к тому учению о спасении, которому они были научены (</w:t>
      </w:r>
      <w:r>
        <w:rPr>
          <w:lang w:val="ru_RU" w:bidi="ru_RU"/>
        </w:rPr>
        <w:t>2:1–4</w:t>
      </w:r>
      <w:r>
        <w:rPr>
          <w:lang w:val="ru_RU" w:bidi="ru_RU"/>
        </w:rPr>
        <w:t>), и затем продолжает экспозицию. Когда Христос стал человеком, Его превознесённое положение было временно понижено, и стало даже ниже, чем у ангелов (</w:t>
      </w:r>
      <w:r>
        <w:rPr>
          <w:lang w:val="ru_RU" w:bidi="ru_RU"/>
        </w:rPr>
        <w:t>2:5–9</w:t>
      </w:r>
      <w:r>
        <w:rPr>
          <w:lang w:val="ru_RU" w:bidi="ru_RU"/>
        </w:rPr>
        <w:t>). Иисус облёкся в плоть и кровь, чтобы умереть и освободить нас (</w:t>
      </w:r>
      <w:r>
        <w:rPr>
          <w:lang w:val="ru_RU" w:bidi="ru_RU"/>
        </w:rPr>
        <w:t>2:10–18</w:t>
      </w:r>
      <w:r>
        <w:rPr>
          <w:lang w:val="ru_RU" w:bidi="ru_RU"/>
        </w:rPr>
        <w:t>). За первым блоком экспозиции следует увещание (</w:t>
      </w:r>
      <w:r>
        <w:rPr>
          <w:lang w:val="ru_RU" w:bidi="ru_RU"/>
        </w:rPr>
        <w:t>3:1–4:13</w:t>
      </w:r>
      <w:r>
        <w:rPr>
          <w:lang w:val="ru_RU" w:bidi="ru_RU"/>
        </w:rPr>
        <w:t>), в котором говорится о необходимости верного послушания и о продолжающемся обещании покоя Божьему народу.</w:t>
      </w:r>
    </w:p>
    <w:p>
      <w:pPr/>
      <w:r>
        <w:rPr>
          <w:lang w:val="ru_RU" w:bidi="ru_RU"/>
        </w:rPr>
      </w:r>
      <w:r>
        <w:rPr>
          <w:lang w:val="ru_RU" w:bidi="ru_RU"/>
        </w:rPr>
        <w:t>Второй блок экспозиции (</w:t>
      </w:r>
      <w:r>
        <w:rPr>
          <w:lang w:val="ru_RU" w:bidi="ru_RU"/>
        </w:rPr>
        <w:t>4:14–10:18</w:t>
      </w:r>
      <w:r>
        <w:rPr>
          <w:lang w:val="ru_RU" w:bidi="ru_RU"/>
        </w:rPr>
        <w:t xml:space="preserve">) говорит о превосходстве Сына, нашего Первосвященника, над ветхозаветной системой жертвоприношений. После краткого введения в тему </w:t>
      </w:r>
      <w:r>
        <w:rPr>
          <w:lang w:val="ru_RU" w:bidi="ru_RU"/>
        </w:rPr>
        <w:t>4:14–16</w:t>
      </w:r>
      <w:r>
        <w:rPr>
          <w:lang w:val="ru_RU" w:bidi="ru_RU"/>
        </w:rPr>
        <w:t xml:space="preserve"> автор говорит о назначении Сына великим Первосвященником (</w:t>
      </w:r>
      <w:r>
        <w:rPr>
          <w:lang w:val="ru_RU" w:bidi="ru_RU"/>
        </w:rPr>
        <w:t>5:1–10</w:t>
      </w:r>
      <w:r>
        <w:rPr>
          <w:lang w:val="ru_RU" w:bidi="ru_RU"/>
        </w:rPr>
        <w:t>) и указывает на духовную незрелость общины (</w:t>
      </w:r>
      <w:r>
        <w:rPr>
          <w:lang w:val="ru_RU" w:bidi="ru_RU"/>
        </w:rPr>
        <w:t>5:11–6:20</w:t>
      </w:r>
      <w:r>
        <w:rPr>
          <w:lang w:val="ru_RU" w:bidi="ru_RU"/>
        </w:rPr>
        <w:t>). Обсуждение превосходства Мелхиседека над священниками-левитами (</w:t>
      </w:r>
      <w:r>
        <w:rPr>
          <w:lang w:val="ru_RU" w:bidi="ru_RU"/>
        </w:rPr>
        <w:t>7:1–10</w:t>
      </w:r>
      <w:r>
        <w:rPr>
          <w:lang w:val="ru_RU" w:bidi="ru_RU"/>
        </w:rPr>
        <w:t>) становится основой того, что Иисус называется Первосвященником по чину Мелхиседека (</w:t>
      </w:r>
      <w:r>
        <w:rPr>
          <w:lang w:val="ru_RU" w:bidi="ru_RU"/>
        </w:rPr>
        <w:t>7:11–28</w:t>
      </w:r>
      <w:r>
        <w:rPr>
          <w:lang w:val="ru_RU" w:bidi="ru_RU"/>
        </w:rPr>
        <w:t>). Коротко говоря, Иисус стал священником не в соответствии с условиями закона Ветхого Завета, в котором говорится, что священники должны быть из колена Левия. Но Он был поставлен Самим Богом, с клятвой, на основании Его «навеки совершенной» жизни. Затем в экспозиции говорится о превосходстве жертвы, принесённой Этим Первосвященником (</w:t>
      </w:r>
      <w:r>
        <w:rPr>
          <w:lang w:val="ru_RU" w:bidi="ru_RU"/>
        </w:rPr>
        <w:t>8:3–10:18</w:t>
      </w:r>
      <w:r>
        <w:rPr>
          <w:lang w:val="ru_RU" w:bidi="ru_RU"/>
        </w:rPr>
        <w:t>). Как и земные священники, Этот Первосвященник должен был принести жертву за грехи, но Его приношение было приношением нового завета (</w:t>
      </w:r>
      <w:r>
        <w:rPr>
          <w:lang w:val="ru_RU" w:bidi="ru_RU"/>
        </w:rPr>
        <w:t>8:7–13</w:t>
      </w:r>
      <w:r>
        <w:rPr>
          <w:lang w:val="ru_RU" w:bidi="ru_RU"/>
        </w:rPr>
        <w:t>), а новый завет превосходнее старого (</w:t>
      </w:r>
      <w:r>
        <w:rPr>
          <w:lang w:val="ru_RU" w:bidi="ru_RU"/>
        </w:rPr>
        <w:t>9:1–10:18</w:t>
      </w:r>
      <w:r>
        <w:rPr>
          <w:lang w:val="ru_RU" w:bidi="ru_RU"/>
        </w:rPr>
        <w:t>).</w:t>
      </w:r>
    </w:p>
    <w:p>
      <w:pPr/>
      <w:r>
        <w:rPr>
          <w:lang w:val="ru_RU" w:bidi="ru_RU"/>
        </w:rPr>
      </w:r>
      <w:r>
        <w:rPr>
          <w:lang w:val="ru_RU" w:bidi="ru_RU"/>
        </w:rPr>
        <w:t>Последняя большая часть (</w:t>
      </w:r>
      <w:r>
        <w:rPr>
          <w:lang w:val="ru_RU" w:bidi="ru_RU"/>
        </w:rPr>
        <w:t>10:19–13:25</w:t>
      </w:r>
      <w:r>
        <w:rPr>
          <w:lang w:val="ru_RU" w:bidi="ru_RU"/>
        </w:rPr>
        <w:t>) является увещанием, призывающим слушателей откликнуться на весть о Христе с верой. Книга заканчивается благословением и формальным заключением (</w:t>
      </w:r>
      <w:r>
        <w:rPr>
          <w:lang w:val="ru_RU" w:bidi="ru_RU"/>
        </w:rPr>
        <w:t>13:20–25</w:t>
      </w:r>
      <w:r>
        <w:rPr>
          <w:lang w:val="ru_RU" w:bidi="ru_RU"/>
        </w:rPr>
        <w:t>).</w:t>
      </w:r>
    </w:p>
    <w:p>
      <w:pPr>
        <w:pStyle w:val="Heading2"/>
      </w:pPr>
      <w:r>
        <w:rPr>
          <w:lang w:val="ru_RU" w:bidi="ru_RU"/>
        </w:rPr>
        <w:t>Авторство</w:t>
      </w:r>
    </w:p>
    <w:p>
      <w:pPr/>
      <w:r>
        <w:rPr>
          <w:lang w:val="ru_RU" w:bidi="ru_RU"/>
        </w:rPr>
      </w:r>
      <w:r>
        <w:rPr>
          <w:lang w:val="ru_RU" w:bidi="ru_RU"/>
        </w:rPr>
        <w:t>В отличие от многих других новозаветных посланий, Послание к Евреям не начинается с представления автора и обращения к получателям. Сегодня многие исследователи считают, что это связано с тем, что эта книга изначально была написана как проповедь. Авторство Послания к Евреям много обсуждалось с самых первых веков истории Церкви. Книга распространялась вместе с посланиями Павла, и некоторые Отцы Церкви в восточной части Средиземноморья (например, Ориген и Клемент Александрийский) утверждали, что автором был Павел. Другие Отцы, особенно в западной части, не считали, что Павел написал эту книгу.</w:t>
      </w:r>
    </w:p>
    <w:p>
      <w:pPr/>
      <w:r>
        <w:rPr>
          <w:lang w:val="ru_RU" w:bidi="ru_RU"/>
        </w:rPr>
      </w:r>
      <w:r>
        <w:rPr>
          <w:lang w:val="ru_RU" w:bidi="ru_RU"/>
        </w:rPr>
        <w:t xml:space="preserve">Почти все современные исследователи сходятся во мнении, что автором Послания к Евреям был не Павел. Во-первых, в </w:t>
      </w:r>
      <w:r>
        <w:rPr>
          <w:lang w:val="ru_RU" w:bidi="ru_RU"/>
        </w:rPr>
        <w:t>2:3</w:t>
      </w:r>
      <w:r>
        <w:rPr>
          <w:lang w:val="ru_RU" w:bidi="ru_RU"/>
        </w:rPr>
        <w:t xml:space="preserve"> автор изображён как тот, кто получил Благую Весть от первоначальных свидетелей, ходивших со Христом, и это совсем не похоже на Павла (см. </w:t>
      </w:r>
      <w:r>
        <w:rPr>
          <w:lang w:val="ru_RU" w:bidi="ru_RU"/>
        </w:rPr>
        <w:t>Рим.1:1</w:t>
      </w:r>
      <w:r>
        <w:rPr>
          <w:lang w:val="ru_RU" w:bidi="ru_RU"/>
        </w:rPr>
        <w:t xml:space="preserve">; </w:t>
      </w:r>
      <w:r>
        <w:rPr>
          <w:lang w:val="ru_RU" w:bidi="ru_RU"/>
        </w:rPr>
        <w:t>1Кор.15:8</w:t>
      </w:r>
      <w:r>
        <w:rPr>
          <w:lang w:val="ru_RU" w:bidi="ru_RU"/>
        </w:rPr>
        <w:t xml:space="preserve">; </w:t>
      </w:r>
      <w:r>
        <w:rPr>
          <w:lang w:val="ru_RU" w:bidi="ru_RU"/>
        </w:rPr>
        <w:t>Гал.1:11–16</w:t>
      </w:r>
      <w:r>
        <w:rPr>
          <w:lang w:val="ru_RU" w:bidi="ru_RU"/>
        </w:rPr>
        <w:t>). Во-вторых, стиль, богословские образы и лексика Послания к Евреям сильно отличаются от Павловых: например, в Послании используется 169 слов, которые в Новом Завете больше нигде не встречаются.</w:t>
      </w:r>
    </w:p>
    <w:p>
      <w:pPr/>
      <w:r>
        <w:rPr>
          <w:lang w:val="ru_RU" w:bidi="ru_RU"/>
        </w:rPr>
      </w:r>
      <w:r>
        <w:rPr>
          <w:lang w:val="ru_RU" w:bidi="ru_RU"/>
        </w:rPr>
        <w:t xml:space="preserve">На протяжении веков было предложено много вариантов возможных авторов — Филипп, Прискилла, Лука, Варнава, Иуда и Климент Римский. Мартин Лютер предположил, что это послание мог написать Аполлос, и эта идея стала одной из самых популярных. В </w:t>
      </w:r>
      <w:r>
        <w:rPr>
          <w:lang w:val="ru_RU" w:bidi="ru_RU"/>
        </w:rPr>
        <w:t>Деян.18:24–26</w:t>
      </w:r>
      <w:r>
        <w:rPr>
          <w:lang w:val="ru_RU" w:bidi="ru_RU"/>
        </w:rPr>
        <w:t xml:space="preserve"> Лука описывает Аполлоса как красноречивого человека из Александрии, сильного оратора и проповедника.</w:t>
      </w:r>
    </w:p>
    <w:p>
      <w:pPr/>
      <w:r>
        <w:rPr>
          <w:lang w:val="ru_RU" w:bidi="ru_RU"/>
        </w:rPr>
      </w:r>
      <w:r>
        <w:rPr>
          <w:lang w:val="ru_RU" w:bidi="ru_RU"/>
        </w:rPr>
        <w:t>И хотя мы не можем с уверенностью идентифицировать автора Послания к Евреям, мы можем многое узнать о нём при внимательном изучении книги. Во-первых, превосходный греческий язык, на котором написана эта книга, и искусно подобранные формулировки указывают на то, что автор был высокообразованным человеком. Во-вторых, автор Послания к Евреям, должно быть, был динамичным проповедником, обученным толкованию и экспозиции, знавшим наизусть значительную часть Ветхого Завета. В-третьих, и это самое важное, этот автор был одним из руководителей церкви, глубоко обеспокоенным и обращавшимся к своим читателям настойчиво и страстно. Послание к Евреям — это не просто богословский трактат, но пастырский призыв, обращённый к сердцам и умам тех, кто борется за свою приверженность христианству.</w:t>
      </w:r>
    </w:p>
    <w:p>
      <w:pPr>
        <w:pStyle w:val="Heading2"/>
      </w:pPr>
      <w:r>
        <w:rPr>
          <w:lang w:val="ru_RU" w:bidi="ru_RU"/>
        </w:rPr>
        <w:t>Получатели</w:t>
      </w:r>
    </w:p>
    <w:p>
      <w:pPr/>
      <w:r>
        <w:rPr>
          <w:lang w:val="ru_RU" w:bidi="ru_RU"/>
        </w:rPr>
      </w:r>
      <w:r>
        <w:rPr>
          <w:lang w:val="ru_RU" w:bidi="ru_RU"/>
        </w:rPr>
        <w:t>Автор пишет: «Приветствуйте всех начальников ваших и всех святых. Приветствуют вас Италийские» (</w:t>
      </w:r>
      <w:r>
        <w:rPr>
          <w:lang w:val="ru_RU" w:bidi="ru_RU"/>
        </w:rPr>
        <w:t>Евр.13:24</w:t>
      </w:r>
      <w:r>
        <w:rPr>
          <w:lang w:val="ru_RU" w:bidi="ru_RU"/>
        </w:rPr>
        <w:t>). Похоже, что автор писал в Италию, может быть в Рим, посылая приветствия от италийских христиан, путешествующих за пределами страны.</w:t>
      </w:r>
    </w:p>
    <w:p>
      <w:pPr/>
      <w:r>
        <w:rPr>
          <w:lang w:val="ru_RU" w:bidi="ru_RU"/>
        </w:rPr>
      </w:r>
      <w:r>
        <w:rPr>
          <w:lang w:val="ru_RU" w:bidi="ru_RU"/>
        </w:rPr>
        <w:t>Похоже, что адресаты послания имели некоторый опыт в иудейском богослужении. То, как автор использует Ветхий Завет и богословские понятия, могло быть понятным прихожанам синагоги в Средиземноморье. Это не обязательно означает, что все получатели послания были евреями, поскольку многие язычники были частью синагоги в качестве «боящихся Бога» и поклонялись Богу Израиля.</w:t>
      </w:r>
    </w:p>
    <w:p>
      <w:pPr>
        <w:pStyle w:val="Heading2"/>
      </w:pPr>
      <w:r>
        <w:rPr>
          <w:lang w:val="ru_RU" w:bidi="ru_RU"/>
        </w:rPr>
        <w:t>Повод написания</w:t>
      </w:r>
    </w:p>
    <w:p>
      <w:pPr/>
      <w:r>
        <w:rPr>
          <w:lang w:val="ru_RU" w:bidi="ru_RU"/>
        </w:rPr>
      </w:r>
      <w:r>
        <w:rPr>
          <w:lang w:val="ru_RU" w:bidi="ru_RU"/>
        </w:rPr>
        <w:t xml:space="preserve">Очевидно, что некоторые члены христианской общины с трудом могли сохранять свои убеждения, так как подверглись гонениям. Такие отрывки как </w:t>
      </w:r>
      <w:r>
        <w:rPr>
          <w:lang w:val="ru_RU" w:bidi="ru_RU"/>
        </w:rPr>
        <w:t>Евр.10:32–39</w:t>
      </w:r>
      <w:r>
        <w:rPr>
          <w:lang w:val="ru_RU" w:bidi="ru_RU"/>
        </w:rPr>
        <w:t xml:space="preserve"> позволяют предположить, что группа верующих, которая в прошлом сталкивалась с преследованиями, столкнулась с ними снова. В горниле необходимости отстаивать Христа и церковь перед лицом противодействующего общества некоторые из них духовно ослабели, а кто-то, по-видимому, и вовсе отвернулся от веры. Поэтому автор призывает этих страдальцев за веру к выдержке и терпению в публичном исповедании Христа.</w:t>
      </w:r>
    </w:p>
    <w:p>
      <w:pPr/>
      <w:r>
        <w:rPr>
          <w:lang w:val="ru_RU" w:bidi="ru_RU"/>
        </w:rPr>
      </w:r>
      <w:r>
        <w:rPr>
          <w:lang w:val="ru_RU" w:bidi="ru_RU"/>
        </w:rPr>
        <w:t xml:space="preserve">Если верно предположение о том, что это послание было написано в Рим, то эти слова увещания, возможно, были вызваны гонениями, произошедшими при императоре Нероне в середине 60-х гг. I в. Эти жестокие гонения, послужившие причиной мученической смерти многих христиан, хорошо известны. Также возможно, что Послание к Евреям было написано после 70 г. I в. Это предположение менее вероятно, потому что во время написания Послания к Евреям, похоже, никто из общины ещё не сталкивался с мученической смертью (см. </w:t>
      </w:r>
      <w:r>
        <w:rPr>
          <w:lang w:val="ru_RU" w:bidi="ru_RU"/>
        </w:rPr>
        <w:t>12:4</w:t>
      </w:r>
      <w:r>
        <w:rPr>
          <w:lang w:val="ru_RU" w:bidi="ru_RU"/>
        </w:rPr>
        <w:t>), но гонения уже усиливались.</w:t>
      </w:r>
    </w:p>
    <w:p>
      <w:pPr>
        <w:pStyle w:val="Heading2"/>
      </w:pPr>
      <w:r>
        <w:rPr>
          <w:lang w:val="ru_RU" w:bidi="ru_RU"/>
        </w:rPr>
        <w:t>Значение и смысл</w:t>
      </w:r>
    </w:p>
    <w:p>
      <w:pPr/>
      <w:r>
        <w:rPr>
          <w:lang w:val="ru_RU" w:bidi="ru_RU"/>
        </w:rPr>
      </w:r>
      <w:r>
        <w:rPr>
          <w:lang w:val="ru_RU" w:bidi="ru_RU"/>
        </w:rPr>
        <w:t>Бог говорил о Своём Сыне и через Своего Сына (</w:t>
      </w:r>
      <w:r>
        <w:rPr>
          <w:lang w:val="ru_RU" w:bidi="ru_RU"/>
        </w:rPr>
        <w:t>1:1–3</w:t>
      </w:r>
      <w:r>
        <w:rPr>
          <w:lang w:val="ru_RU" w:bidi="ru_RU"/>
        </w:rPr>
        <w:t>), и тех, кто не слушает и не отвечает послушанием этому слову, ожидают ужасные последствия (</w:t>
      </w:r>
      <w:r>
        <w:rPr>
          <w:lang w:val="ru_RU" w:bidi="ru_RU"/>
        </w:rPr>
        <w:t>2:1–3</w:t>
      </w:r>
      <w:r>
        <w:rPr>
          <w:lang w:val="ru_RU" w:bidi="ru_RU"/>
        </w:rPr>
        <w:t>). В конце концов Иисус, Творец и Хранитель Вселенной (</w:t>
      </w:r>
      <w:r>
        <w:rPr>
          <w:lang w:val="ru_RU" w:bidi="ru_RU"/>
        </w:rPr>
        <w:t>1:2–3</w:t>
      </w:r>
      <w:r>
        <w:rPr>
          <w:lang w:val="ru_RU" w:bidi="ru_RU"/>
        </w:rPr>
        <w:t>), свернёт сотворённый порядок, как человек сворачивает старую одежду (</w:t>
      </w:r>
      <w:r>
        <w:rPr>
          <w:lang w:val="ru_RU" w:bidi="ru_RU"/>
        </w:rPr>
        <w:t>1:10–12</w:t>
      </w:r>
      <w:r>
        <w:rPr>
          <w:lang w:val="ru_RU" w:bidi="ru_RU"/>
        </w:rPr>
        <w:t>).</w:t>
      </w:r>
    </w:p>
    <w:p>
      <w:pPr/>
      <w:r>
        <w:rPr>
          <w:lang w:val="ru_RU" w:bidi="ru_RU"/>
        </w:rPr>
      </w:r>
      <w:r>
        <w:rPr>
          <w:lang w:val="ru_RU" w:bidi="ru_RU"/>
        </w:rPr>
        <w:t>Иисус в высшей степени достоин нашего посвящения, поклонения и веры. Он превосходит ангелов (</w:t>
      </w:r>
      <w:r>
        <w:rPr>
          <w:lang w:val="ru_RU" w:bidi="ru_RU"/>
        </w:rPr>
        <w:t>1:5–14</w:t>
      </w:r>
      <w:r>
        <w:rPr>
          <w:lang w:val="ru_RU" w:bidi="ru_RU"/>
        </w:rPr>
        <w:t>), Моисея (</w:t>
      </w:r>
      <w:r>
        <w:rPr>
          <w:lang w:val="ru_RU" w:bidi="ru_RU"/>
        </w:rPr>
        <w:t>3:1–6</w:t>
      </w:r>
      <w:r>
        <w:rPr>
          <w:lang w:val="ru_RU" w:bidi="ru_RU"/>
        </w:rPr>
        <w:t>) и левитское священство Ветхого Завета (</w:t>
      </w:r>
      <w:r>
        <w:rPr>
          <w:lang w:val="ru_RU" w:bidi="ru_RU"/>
        </w:rPr>
        <w:t>5:1–10</w:t>
      </w:r>
      <w:r>
        <w:rPr>
          <w:lang w:val="ru_RU" w:bidi="ru_RU"/>
        </w:rPr>
        <w:t xml:space="preserve">; </w:t>
      </w:r>
      <w:r>
        <w:rPr>
          <w:lang w:val="ru_RU" w:bidi="ru_RU"/>
        </w:rPr>
        <w:t>7:1–28</w:t>
      </w:r>
      <w:r>
        <w:rPr>
          <w:lang w:val="ru_RU" w:bidi="ru_RU"/>
        </w:rPr>
        <w:t>).</w:t>
      </w:r>
    </w:p>
    <w:p>
      <w:pPr/>
      <w:r>
        <w:rPr>
          <w:lang w:val="ru_RU" w:bidi="ru_RU"/>
        </w:rPr>
      </w:r>
      <w:r>
        <w:rPr>
          <w:lang w:val="ru_RU" w:bidi="ru_RU"/>
        </w:rPr>
        <w:t>Иисус заключил новый, небесный завет, посредством Своей смерти предоставив Себя в качестве жертвы однажды и навсегда (</w:t>
      </w:r>
      <w:r>
        <w:rPr>
          <w:lang w:val="ru_RU" w:bidi="ru_RU"/>
        </w:rPr>
        <w:t>8:3–10:18</w:t>
      </w:r>
      <w:r>
        <w:rPr>
          <w:lang w:val="ru_RU" w:bidi="ru_RU"/>
        </w:rPr>
        <w:t>). В Своём воплощении Он претерпел страдания как верный Сын (</w:t>
      </w:r>
      <w:r>
        <w:rPr>
          <w:lang w:val="ru_RU" w:bidi="ru_RU"/>
        </w:rPr>
        <w:t>3:1–6</w:t>
      </w:r>
      <w:r>
        <w:rPr>
          <w:lang w:val="ru_RU" w:bidi="ru_RU"/>
        </w:rPr>
        <w:t xml:space="preserve">; </w:t>
      </w:r>
      <w:r>
        <w:rPr>
          <w:lang w:val="ru_RU" w:bidi="ru_RU"/>
        </w:rPr>
        <w:t>5:7–8</w:t>
      </w:r>
      <w:r>
        <w:rPr>
          <w:lang w:val="ru_RU" w:bidi="ru_RU"/>
        </w:rPr>
        <w:t xml:space="preserve">; </w:t>
      </w:r>
      <w:r>
        <w:rPr>
          <w:lang w:val="ru_RU" w:bidi="ru_RU"/>
        </w:rPr>
        <w:t>12:1–2</w:t>
      </w:r>
      <w:r>
        <w:rPr>
          <w:lang w:val="ru_RU" w:bidi="ru_RU"/>
        </w:rPr>
        <w:t>), и, будучи превознесённым, Он правит как Господь Вселенной (</w:t>
      </w:r>
      <w:r>
        <w:rPr>
          <w:lang w:val="ru_RU" w:bidi="ru_RU"/>
        </w:rPr>
        <w:t>1:2–4</w:t>
      </w:r>
      <w:r>
        <w:rPr>
          <w:lang w:val="ru_RU" w:bidi="ru_RU"/>
        </w:rPr>
        <w:t xml:space="preserve">, </w:t>
      </w:r>
      <w:r>
        <w:rPr>
          <w:lang w:val="ru_RU" w:bidi="ru_RU"/>
        </w:rPr>
        <w:t>8–13</w:t>
      </w:r>
      <w:r>
        <w:rPr>
          <w:lang w:val="ru_RU" w:bidi="ru_RU"/>
        </w:rPr>
        <w:t>). И поэтому Иисус даёт нам твёрдое основание для упорного продолжения христианской жизни и для надежды на будущее.</w:t>
      </w:r>
    </w:p>
    <w:p>
      <w:pPr/>
      <w:r>
        <w:rPr>
          <w:lang w:val="ru_RU" w:bidi="ru_RU"/>
        </w:rPr>
      </w:r>
      <w:r>
        <w:rPr>
          <w:lang w:val="ru_RU" w:bidi="ru_RU"/>
        </w:rPr>
        <w:t xml:space="preserve">Мы также можем посмотреть на позитивные примеры тех, кто был верен на своём пути в Божий вечный город (см. </w:t>
      </w:r>
      <w:r>
        <w:rPr>
          <w:lang w:val="ru_RU" w:bidi="ru_RU"/>
        </w:rPr>
        <w:t>6:13–15</w:t>
      </w:r>
      <w:r>
        <w:rPr>
          <w:lang w:val="ru_RU" w:bidi="ru_RU"/>
        </w:rPr>
        <w:t xml:space="preserve">; </w:t>
      </w:r>
      <w:r>
        <w:rPr>
          <w:lang w:val="ru_RU" w:bidi="ru_RU"/>
        </w:rPr>
        <w:t>10:32–39</w:t>
      </w:r>
      <w:r>
        <w:rPr>
          <w:lang w:val="ru_RU" w:bidi="ru_RU"/>
        </w:rPr>
        <w:t xml:space="preserve">; </w:t>
      </w:r>
      <w:r>
        <w:rPr>
          <w:lang w:val="ru_RU" w:bidi="ru_RU"/>
        </w:rPr>
        <w:t>11:1–40</w:t>
      </w:r>
      <w:r>
        <w:rPr>
          <w:lang w:val="ru_RU" w:bidi="ru_RU"/>
        </w:rPr>
        <w:t xml:space="preserve">), и на негативные примеры тех, кто пал в результате непослушания (см. </w:t>
      </w:r>
      <w:r>
        <w:rPr>
          <w:lang w:val="ru_RU" w:bidi="ru_RU"/>
        </w:rPr>
        <w:t>3:7–19</w:t>
      </w:r>
      <w:r>
        <w:rPr>
          <w:lang w:val="ru_RU" w:bidi="ru_RU"/>
        </w:rPr>
        <w:t xml:space="preserve">; </w:t>
      </w:r>
      <w:r>
        <w:rPr>
          <w:lang w:val="ru_RU" w:bidi="ru_RU"/>
        </w:rPr>
        <w:t>6:4–8</w:t>
      </w:r>
      <w:r>
        <w:rPr>
          <w:lang w:val="ru_RU" w:bidi="ru_RU"/>
        </w:rPr>
        <w:t>). И как дети Божии, мы можем принять Его обещания нашего наследия (</w:t>
      </w:r>
      <w:r>
        <w:rPr>
          <w:lang w:val="ru_RU" w:bidi="ru_RU"/>
        </w:rPr>
        <w:t>4:3–11</w:t>
      </w:r>
      <w:r>
        <w:rPr>
          <w:lang w:val="ru_RU" w:bidi="ru_RU"/>
        </w:rPr>
        <w:t xml:space="preserve">; </w:t>
      </w:r>
      <w:r>
        <w:rPr>
          <w:lang w:val="ru_RU" w:bidi="ru_RU"/>
        </w:rPr>
        <w:t>6:13–20</w:t>
      </w:r>
      <w:r>
        <w:rPr>
          <w:lang w:val="ru_RU" w:bidi="ru_RU"/>
        </w:rPr>
        <w:t xml:space="preserve">; </w:t>
      </w:r>
      <w:r>
        <w:rPr>
          <w:lang w:val="ru_RU" w:bidi="ru_RU"/>
        </w:rPr>
        <w:t>12:22–24</w:t>
      </w:r>
      <w:r>
        <w:rPr>
          <w:lang w:val="ru_RU" w:bidi="ru_RU"/>
        </w:rPr>
        <w:t>).</w:t>
      </w:r>
    </w:p>
    <w:p>
      <w:pPr/>
      <w:r>
        <w:rPr>
          <w:lang w:val="ru_RU" w:bidi="ru_RU"/>
        </w:rPr>
      </w:r>
      <w:r>
        <w:rPr>
          <w:lang w:val="ru_RU" w:bidi="ru_RU"/>
        </w:rPr>
        <w:t>Благодаря Иисусу мы можем жить как верные члены христианской общины, в общении и поклонении (</w:t>
      </w:r>
      <w:r>
        <w:rPr>
          <w:lang w:val="ru_RU" w:bidi="ru_RU"/>
        </w:rPr>
        <w:t>12:1–17</w:t>
      </w:r>
      <w:r>
        <w:rPr>
          <w:lang w:val="ru_RU" w:bidi="ru_RU"/>
        </w:rPr>
        <w:t>). Наша стойкость в христианской вере будет прямо пропорционально тому, насколько ясно мы понимаем, кто такой Иисус и что Он совершил для нас.</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