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利未記</w:t>
      </w:r>
      <w:r>
        <w:rPr>
          <w:lang w:val="zh_TW" w:bidi="zh_TW"/>
        </w:rPr>
      </w:r>
    </w:p>
    <w:p>
      <w:pPr/>
      <w:r>
        <w:rPr>
          <w:lang w:val="zh_TW" w:bidi="zh_TW"/>
        </w:rPr>
      </w:r>
      <w:r>
        <w:rPr>
          <w:lang w:val="zh_TW" w:bidi="zh_TW"/>
        </w:rPr>
        <w:t>利未記幫助古代以色列人活出與聖潔之神的關係。然而，既然基督已經到來，成為我們的大祭司與終極的贖罪祭，並成就了利未記許多條例的要求，那有關祭司制度和動物獻祭的律法，對我們還有何意義？利未記加深了我們對神聖潔的認識。神對那些認識祂之人的要求始終不變：「我是耶和華—你們的神……你們要成為聖潔，因為我是聖潔的」（</w:t>
      </w:r>
      <w:r>
        <w:rPr>
          <w:lang w:val="zh_TW" w:bidi="zh_TW"/>
        </w:rPr>
        <w:t>利11:44–45</w:t>
      </w:r>
      <w:r>
        <w:rPr>
          <w:lang w:val="zh_TW" w:bidi="zh_TW"/>
        </w:rPr>
        <w:t>；</w:t>
      </w:r>
      <w:r>
        <w:rPr>
          <w:lang w:val="zh_TW" w:bidi="zh_TW"/>
        </w:rPr>
        <w:t>彼前1:15–16</w:t>
      </w:r>
      <w:r>
        <w:rPr>
          <w:lang w:val="zh_TW" w:bidi="zh_TW"/>
        </w:rPr>
        <w:t>）。</w:t>
      </w:r>
    </w:p>
    <w:p>
      <w:pPr>
        <w:pStyle w:val="Heading2"/>
      </w:pPr>
      <w:r>
        <w:rPr>
          <w:lang w:val="zh_TW" w:bidi="zh_TW"/>
        </w:rPr>
        <w:t>背景</w:t>
      </w:r>
    </w:p>
    <w:p>
      <w:pPr/>
      <w:r>
        <w:rPr>
          <w:lang w:val="zh_TW" w:bidi="zh_TW"/>
        </w:rPr>
      </w:r>
      <w:r>
        <w:rPr>
          <w:lang w:val="zh_TW" w:bidi="zh_TW"/>
        </w:rPr>
        <w:t>利未記延續了救贖歷史的記載，這救贖從神對亞伯拉罕的應許開始（</w:t>
      </w:r>
      <w:r>
        <w:rPr>
          <w:lang w:val="zh_TW" w:bidi="zh_TW"/>
        </w:rPr>
        <w:t>創12</w:t>
      </w:r>
      <w:r>
        <w:rPr>
          <w:lang w:val="zh_TW" w:bidi="zh_TW"/>
        </w:rPr>
        <w:t>，</w:t>
      </w:r>
      <w:r>
        <w:rPr>
          <w:lang w:val="zh_TW" w:bidi="zh_TW"/>
        </w:rPr>
        <w:t>15</w:t>
      </w:r>
      <w:r>
        <w:rPr>
          <w:lang w:val="zh_TW" w:bidi="zh_TW"/>
        </w:rPr>
        <w:t>，</w:t>
      </w:r>
      <w:r>
        <w:rPr>
          <w:lang w:val="zh_TW" w:bidi="zh_TW"/>
        </w:rPr>
        <w:t>17章</w:t>
      </w:r>
      <w:r>
        <w:rPr>
          <w:lang w:val="zh_TW" w:bidi="zh_TW"/>
        </w:rPr>
        <w:t>），又見於以色列人從埃及為奴之地的拯救（</w:t>
      </w:r>
      <w:r>
        <w:rPr>
          <w:lang w:val="zh_TW" w:bidi="zh_TW"/>
        </w:rPr>
        <w:t>出1–15章</w:t>
      </w:r>
      <w:r>
        <w:rPr>
          <w:lang w:val="zh_TW" w:bidi="zh_TW"/>
        </w:rPr>
        <w:t>）。利未記的場景發生在西奈山腳，那時以色列人尚未進入曠野漂流時期，也尚未進入應許之地迦南。神已經與以色列人立約，宣告他們是祂的珍寶、祭司的國度、聖潔的國民（</w:t>
      </w:r>
      <w:r>
        <w:rPr>
          <w:lang w:val="zh_TW" w:bidi="zh_TW"/>
        </w:rPr>
        <w:t>出19:5–6</w:t>
      </w:r>
      <w:r>
        <w:rPr>
          <w:lang w:val="zh_TW" w:bidi="zh_TW"/>
        </w:rPr>
        <w:t>）。以色列人已經領受了十誡（</w:t>
      </w:r>
      <w:r>
        <w:rPr>
          <w:lang w:val="zh_TW" w:bidi="zh_TW"/>
        </w:rPr>
        <w:t>出20:1–17</w:t>
      </w:r>
      <w:r>
        <w:rPr>
          <w:lang w:val="zh_TW" w:bidi="zh_TW"/>
        </w:rPr>
        <w:t>）、會幕的設計（</w:t>
      </w:r>
      <w:r>
        <w:rPr>
          <w:lang w:val="zh_TW" w:bidi="zh_TW"/>
        </w:rPr>
        <w:t>出25–27章，</w:t>
      </w:r>
      <w:r>
        <w:rPr>
          <w:lang w:val="zh_TW" w:bidi="zh_TW"/>
        </w:rPr>
        <w:t>30:1–38</w:t>
      </w:r>
      <w:r>
        <w:rPr>
          <w:lang w:val="zh_TW" w:bidi="zh_TW"/>
        </w:rPr>
        <w:t>）和祭司職分設立的指示（</w:t>
      </w:r>
      <w:r>
        <w:rPr>
          <w:lang w:val="zh_TW" w:bidi="zh_TW"/>
        </w:rPr>
        <w:t>出28–29章</w:t>
      </w:r>
      <w:r>
        <w:rPr>
          <w:lang w:val="zh_TW" w:bidi="zh_TW"/>
        </w:rPr>
        <w:t>）。會幕也已經建造完成，並分別為聖（</w:t>
      </w:r>
      <w:r>
        <w:rPr>
          <w:lang w:val="zh_TW" w:bidi="zh_TW"/>
        </w:rPr>
        <w:t>出35–40章</w:t>
      </w:r>
      <w:r>
        <w:rPr>
          <w:lang w:val="zh_TW" w:bidi="zh_TW"/>
        </w:rPr>
        <w:t>）。現在，在利未記中，神透過摩西向以色列人啟示祂的聖潔本質，並提供關於敬拜與行為準則的指示，使以色列人能夠按照與神立約的身分來生活。</w:t>
      </w:r>
    </w:p>
    <w:p>
      <w:pPr>
        <w:pStyle w:val="Heading2"/>
      </w:pPr>
      <w:r>
        <w:rPr>
          <w:lang w:val="zh_TW" w:bidi="zh_TW"/>
        </w:rPr>
        <w:t>概要</w:t>
      </w:r>
    </w:p>
    <w:p>
      <w:pPr/>
      <w:r>
        <w:rPr>
          <w:lang w:val="zh_TW" w:bidi="zh_TW"/>
        </w:rPr>
      </w:r>
      <w:r>
        <w:rPr>
          <w:lang w:val="zh_TW" w:bidi="zh_TW"/>
        </w:rPr>
        <w:t>利未記的規條主要涉及利未支派的職責，特別是大祭司的職分（見</w:t>
      </w:r>
      <w:r>
        <w:rPr>
          <w:lang w:val="zh_TW" w:bidi="zh_TW"/>
        </w:rPr>
        <w:t>出28章</w:t>
      </w:r>
      <w:r>
        <w:rPr>
          <w:lang w:val="zh_TW" w:bidi="zh_TW"/>
        </w:rPr>
        <w:t>；</w:t>
      </w:r>
      <w:r>
        <w:rPr>
          <w:lang w:val="zh_TW" w:bidi="zh_TW"/>
        </w:rPr>
        <w:t>民3:44–4:49</w:t>
      </w:r>
      <w:r>
        <w:rPr>
          <w:lang w:val="zh_TW" w:bidi="zh_TW"/>
        </w:rPr>
        <w:t>）。其中包括神對會幕、祭司制度、獻祭、聖日以及禮儀潔淨的指示。利未記貫穿三個核心主題：神的聖潔、如何敬拜聖潔的神，以及以色列民如何在與神的關係中保持聖潔。</w:t>
      </w:r>
    </w:p>
    <w:p>
      <w:pPr/>
      <w:r>
        <w:rPr>
          <w:lang w:val="zh_TW" w:bidi="zh_TW"/>
        </w:rPr>
      </w:r>
      <w:r>
        <w:rPr>
          <w:lang w:val="zh_TW" w:bidi="zh_TW"/>
        </w:rPr>
        <w:t>與神建立正確的關係，始於對神的認識與理解。然而，有限的人類無法完全明白這位永恆的神。更嚴重的是，人若憑直覺而行，難免會開始偏離正道，崇拜偶像，而非敬拜真正的神。在利未記中，神以具體的方式向以色列人顯明祂的聖潔，並教導他們如何按祂的方式來敬拜祂。每一種獻祭與聖日都在教導以色列人關於神的屬性，以及祂對他們的要求。</w:t>
      </w:r>
    </w:p>
    <w:p>
      <w:pPr/>
      <w:r>
        <w:rPr>
          <w:lang w:val="zh_TW" w:bidi="zh_TW"/>
        </w:rPr>
      </w:r>
      <w:r>
        <w:rPr>
          <w:lang w:val="zh_TW" w:bidi="zh_TW"/>
        </w:rPr>
        <w:t>神呼召以色列人認識祂、愛祂（見</w:t>
      </w:r>
      <w:r>
        <w:rPr>
          <w:lang w:val="zh_TW" w:bidi="zh_TW"/>
        </w:rPr>
        <w:t>申6:5，</w:t>
      </w:r>
      <w:r>
        <w:rPr>
          <w:lang w:val="zh_TW" w:bidi="zh_TW"/>
        </w:rPr>
        <w:t>11:1</w:t>
      </w:r>
      <w:r>
        <w:rPr>
          <w:lang w:val="zh_TW" w:bidi="zh_TW"/>
        </w:rPr>
        <w:t>）。結果，他們也要彼此相愛並彼此服事（</w:t>
      </w:r>
      <w:r>
        <w:rPr>
          <w:lang w:val="zh_TW" w:bidi="zh_TW"/>
        </w:rPr>
        <w:t>19:18</w:t>
      </w:r>
      <w:r>
        <w:rPr>
          <w:lang w:val="zh_TW" w:bidi="zh_TW"/>
        </w:rPr>
        <w:t>、</w:t>
      </w:r>
      <w:r>
        <w:rPr>
          <w:lang w:val="zh_TW" w:bidi="zh_TW"/>
        </w:rPr>
        <w:t>33–34</w:t>
      </w:r>
      <w:r>
        <w:rPr>
          <w:lang w:val="zh_TW" w:bidi="zh_TW"/>
        </w:rPr>
        <w:t>）。利未記中的各種禮儀與律法，教導以色列人如何在個人與民族層面上，將愛與服事融入生活之中。</w:t>
      </w:r>
    </w:p>
    <w:p>
      <w:pPr>
        <w:pStyle w:val="Heading2"/>
      </w:pPr>
      <w:r>
        <w:rPr>
          <w:lang w:val="zh_TW" w:bidi="zh_TW"/>
        </w:rPr>
        <w:t>作者</w:t>
      </w:r>
    </w:p>
    <w:p>
      <w:pPr/>
      <w:r>
        <w:rPr>
          <w:lang w:val="zh_TW" w:bidi="zh_TW"/>
        </w:rPr>
      </w:r>
      <w:r>
        <w:rPr>
          <w:lang w:val="zh_TW" w:bidi="zh_TW"/>
        </w:rPr>
        <w:t>一些學者認為，利未記是在以色列人被擄到巴比倫期間（約公元前586至539年）寫成的，遠遠晚於摩西的時代。然而，這種觀點無法解釋，為何被擄時期的猶太教</w:t>
      </w:r>
      <w:r>
        <w:rPr>
          <w:b/>
          <w:lang w:val="zh_TW" w:bidi="zh_TW"/>
        </w:rPr>
        <w:t>（</w:t>
      </w:r>
      <w:r>
        <w:rPr>
          <w:lang w:val="zh_TW" w:bidi="zh_TW"/>
        </w:rPr>
        <w:t>當時已逐漸圍繞拉比與會堂建立，而非祭司與會幕</w:t>
      </w:r>
      <w:r>
        <w:rPr>
          <w:b/>
          <w:lang w:val="zh_TW" w:bidi="zh_TW"/>
        </w:rPr>
        <w:t>），</w:t>
      </w:r>
      <w:r>
        <w:rPr>
          <w:lang w:val="zh_TW" w:bidi="zh_TW"/>
        </w:rPr>
        <w:t>仍然會關心祭司職分與會幕的細節。這種看法也未能充分解釋以色列人在被擄之前的敬拜模式，除非是參考詩篇所記載或暗示的崇拜儀式。</w:t>
      </w:r>
    </w:p>
    <w:p>
      <w:pPr/>
      <w:r>
        <w:rPr>
          <w:lang w:val="zh_TW" w:bidi="zh_TW"/>
        </w:rPr>
      </w:r>
      <w:r>
        <w:rPr>
          <w:lang w:val="zh_TW" w:bidi="zh_TW"/>
        </w:rPr>
        <w:t>有可能的情況是，摩西在以色列人出埃及後的曠野期間，寫下利未記。猶太傳統與早期基督教會都認為摩西是利未記的作者。摩西在埃及王宮長大，受過高等教育，精通閱讀、書寫和數學（見</w:t>
      </w:r>
      <w:r>
        <w:rPr>
          <w:lang w:val="zh_TW" w:bidi="zh_TW"/>
        </w:rPr>
        <w:t>徒7:20–22</w:t>
      </w:r>
      <w:r>
        <w:rPr>
          <w:lang w:val="zh_TW" w:bidi="zh_TW"/>
        </w:rPr>
        <w:t>），因此完全有能力撰寫利未記。利未記的開頭與結尾都明確表明，這卷書的內容是神透過摩西賜給以色列人的（</w:t>
      </w:r>
      <w:r>
        <w:rPr>
          <w:lang w:val="zh_TW" w:bidi="zh_TW"/>
        </w:rPr>
        <w:t>1:1–2，</w:t>
      </w:r>
      <w:r>
        <w:rPr>
          <w:lang w:val="zh_TW" w:bidi="zh_TW"/>
        </w:rPr>
        <w:t>27:34</w:t>
      </w:r>
      <w:r>
        <w:rPr>
          <w:lang w:val="zh_TW" w:bidi="zh_TW"/>
        </w:rPr>
        <w:t>）。書中反覆記載摩西如何領受神的指示（例如</w:t>
      </w:r>
      <w:r>
        <w:rPr>
          <w:lang w:val="zh_TW" w:bidi="zh_TW"/>
        </w:rPr>
        <w:t>4:1，</w:t>
      </w:r>
      <w:r>
        <w:rPr>
          <w:lang w:val="zh_TW" w:bidi="zh_TW"/>
        </w:rPr>
        <w:t>5:14，</w:t>
      </w:r>
      <w:r>
        <w:rPr>
          <w:lang w:val="zh_TW" w:bidi="zh_TW"/>
        </w:rPr>
        <w:t>6:1、</w:t>
      </w:r>
      <w:r>
        <w:rPr>
          <w:lang w:val="zh_TW" w:bidi="zh_TW"/>
        </w:rPr>
        <w:t>8、</w:t>
      </w:r>
      <w:r>
        <w:rPr>
          <w:lang w:val="zh_TW" w:bidi="zh_TW"/>
        </w:rPr>
        <w:t>19、</w:t>
      </w:r>
      <w:r>
        <w:rPr>
          <w:lang w:val="zh_TW" w:bidi="zh_TW"/>
        </w:rPr>
        <w:t>24，</w:t>
      </w:r>
      <w:r>
        <w:rPr>
          <w:lang w:val="zh_TW" w:bidi="zh_TW"/>
        </w:rPr>
        <w:t>7:22、</w:t>
      </w:r>
      <w:r>
        <w:rPr>
          <w:lang w:val="zh_TW" w:bidi="zh_TW"/>
        </w:rPr>
        <w:t>28，</w:t>
      </w:r>
      <w:r>
        <w:rPr>
          <w:lang w:val="zh_TW" w:bidi="zh_TW"/>
        </w:rPr>
        <w:t>8:1</w:t>
      </w:r>
      <w:r>
        <w:rPr>
          <w:lang w:val="zh_TW" w:bidi="zh_TW"/>
        </w:rPr>
        <w:t>），並且執行這些命令（</w:t>
      </w:r>
      <w:r>
        <w:rPr>
          <w:lang w:val="zh_TW" w:bidi="zh_TW"/>
        </w:rPr>
        <w:t>8:4–10:20</w:t>
      </w:r>
      <w:r>
        <w:rPr>
          <w:lang w:val="zh_TW" w:bidi="zh_TW"/>
        </w:rPr>
        <w:t>）。舊約經常提到摩西是摩西五經（創世記至申命記）的作者（見</w:t>
      </w:r>
      <w:r>
        <w:rPr>
          <w:lang w:val="zh_TW" w:bidi="zh_TW"/>
        </w:rPr>
        <w:t>書8:31–32，</w:t>
      </w:r>
      <w:r>
        <w:rPr>
          <w:lang w:val="zh_TW" w:bidi="zh_TW"/>
        </w:rPr>
        <w:t>23:6</w:t>
      </w:r>
      <w:r>
        <w:rPr>
          <w:lang w:val="zh_TW" w:bidi="zh_TW"/>
        </w:rPr>
        <w:t>；</w:t>
      </w:r>
      <w:r>
        <w:rPr>
          <w:lang w:val="zh_TW" w:bidi="zh_TW"/>
        </w:rPr>
        <w:t>王上2:3</w:t>
      </w:r>
      <w:r>
        <w:rPr>
          <w:lang w:val="zh_TW" w:bidi="zh_TW"/>
        </w:rPr>
        <w:t>；</w:t>
      </w:r>
      <w:r>
        <w:rPr>
          <w:lang w:val="zh_TW" w:bidi="zh_TW"/>
        </w:rPr>
        <w:t>王下14:6，</w:t>
      </w:r>
      <w:r>
        <w:rPr>
          <w:lang w:val="zh_TW" w:bidi="zh_TW"/>
        </w:rPr>
        <w:t>23:25</w:t>
      </w:r>
      <w:r>
        <w:rPr>
          <w:lang w:val="zh_TW" w:bidi="zh_TW"/>
        </w:rPr>
        <w:t>；</w:t>
      </w:r>
      <w:r>
        <w:rPr>
          <w:lang w:val="zh_TW" w:bidi="zh_TW"/>
        </w:rPr>
        <w:t>代下23:18，</w:t>
      </w:r>
      <w:r>
        <w:rPr>
          <w:lang w:val="zh_TW" w:bidi="zh_TW"/>
        </w:rPr>
        <w:t>30:16</w:t>
      </w:r>
      <w:r>
        <w:rPr>
          <w:lang w:val="zh_TW" w:bidi="zh_TW"/>
        </w:rPr>
        <w:t>；</w:t>
      </w:r>
      <w:r>
        <w:rPr>
          <w:lang w:val="zh_TW" w:bidi="zh_TW"/>
        </w:rPr>
        <w:t>拉3:2，</w:t>
      </w:r>
      <w:r>
        <w:rPr>
          <w:lang w:val="zh_TW" w:bidi="zh_TW"/>
        </w:rPr>
        <w:t>7:6</w:t>
      </w:r>
      <w:r>
        <w:rPr>
          <w:lang w:val="zh_TW" w:bidi="zh_TW"/>
        </w:rPr>
        <w:t>；</w:t>
      </w:r>
      <w:r>
        <w:rPr>
          <w:lang w:val="zh_TW" w:bidi="zh_TW"/>
        </w:rPr>
        <w:t>尼8:1</w:t>
      </w:r>
      <w:r>
        <w:rPr>
          <w:lang w:val="zh_TW" w:bidi="zh_TW"/>
        </w:rPr>
        <w:t>；</w:t>
      </w:r>
      <w:r>
        <w:rPr>
          <w:lang w:val="zh_TW" w:bidi="zh_TW"/>
        </w:rPr>
        <w:t>但9:11–13</w:t>
      </w:r>
      <w:r>
        <w:rPr>
          <w:lang w:val="zh_TW" w:bidi="zh_TW"/>
        </w:rPr>
        <w:t>）。新約同樣支持這一觀點（</w:t>
      </w:r>
      <w:r>
        <w:rPr>
          <w:lang w:val="zh_TW" w:bidi="zh_TW"/>
        </w:rPr>
        <w:t>太19:7–8</w:t>
      </w:r>
      <w:r>
        <w:rPr>
          <w:lang w:val="zh_TW" w:bidi="zh_TW"/>
        </w:rPr>
        <w:t>；</w:t>
      </w:r>
      <w:r>
        <w:rPr>
          <w:lang w:val="zh_TW" w:bidi="zh_TW"/>
        </w:rPr>
        <w:t>路2:22，</w:t>
      </w:r>
      <w:r>
        <w:rPr>
          <w:lang w:val="zh_TW" w:bidi="zh_TW"/>
        </w:rPr>
        <w:t>24:44</w:t>
      </w:r>
      <w:r>
        <w:rPr>
          <w:lang w:val="zh_TW" w:bidi="zh_TW"/>
        </w:rPr>
        <w:t>；</w:t>
      </w:r>
      <w:r>
        <w:rPr>
          <w:lang w:val="zh_TW" w:bidi="zh_TW"/>
        </w:rPr>
        <w:t>約7:19、</w:t>
      </w:r>
      <w:r>
        <w:rPr>
          <w:lang w:val="zh_TW" w:bidi="zh_TW"/>
        </w:rPr>
        <w:t>23</w:t>
      </w:r>
      <w:r>
        <w:rPr>
          <w:lang w:val="zh_TW" w:bidi="zh_TW"/>
        </w:rPr>
        <w:t>；</w:t>
      </w:r>
      <w:r>
        <w:rPr>
          <w:lang w:val="zh_TW" w:bidi="zh_TW"/>
        </w:rPr>
        <w:t>羅10:5</w:t>
      </w:r>
      <w:r>
        <w:rPr>
          <w:lang w:val="zh_TW" w:bidi="zh_TW"/>
        </w:rPr>
        <w:t>；</w:t>
      </w:r>
      <w:r>
        <w:rPr>
          <w:lang w:val="zh_TW" w:bidi="zh_TW"/>
        </w:rPr>
        <w:t>林前9:9</w:t>
      </w:r>
      <w:r>
        <w:rPr>
          <w:lang w:val="zh_TW" w:bidi="zh_TW"/>
        </w:rPr>
        <w:t>；</w:t>
      </w:r>
      <w:r>
        <w:rPr>
          <w:lang w:val="zh_TW" w:bidi="zh_TW"/>
        </w:rPr>
        <w:t>來10:28</w:t>
      </w:r>
      <w:r>
        <w:rPr>
          <w:lang w:val="zh_TW" w:bidi="zh_TW"/>
        </w:rPr>
        <w:t>）。另見</w:t>
      </w:r>
      <w:r>
        <w:rPr>
          <w:lang w:val="zh_TW" w:bidi="zh_TW"/>
        </w:rPr>
        <w:t>創世記簡介</w:t>
      </w:r>
      <w:r>
        <w:rPr>
          <w:lang w:val="zh_TW" w:bidi="zh_TW"/>
        </w:rPr>
        <w:t>，「作者」。</w:t>
      </w:r>
    </w:p>
    <w:p>
      <w:pPr>
        <w:pStyle w:val="Heading2"/>
      </w:pPr>
      <w:r>
        <w:rPr>
          <w:lang w:val="zh_TW" w:bidi="zh_TW"/>
        </w:rPr>
        <w:t>意義與信息</w:t>
      </w:r>
    </w:p>
    <w:p>
      <w:pPr/>
      <w:r>
        <w:rPr>
          <w:lang w:val="zh_TW" w:bidi="zh_TW"/>
        </w:rPr>
      </w:r>
      <w:r>
        <w:rPr>
          <w:lang w:val="zh_TW" w:bidi="zh_TW"/>
        </w:rPr>
        <w:t>雖然利未記的背景是古代文化與時代，但它傳達了一個超越時空的信息：神是聖潔的，並且祂期望那些蒙祂拯救的子民，要像祂一樣聖潔。神的聖潔與祂恩典的救贖，既是祂子民聖潔生活的基礎，也是他們保持聖潔的動力（</w:t>
      </w:r>
      <w:r>
        <w:rPr>
          <w:lang w:val="zh_TW" w:bidi="zh_TW"/>
        </w:rPr>
        <w:t>11:44–45</w:t>
      </w:r>
      <w:r>
        <w:rPr>
          <w:lang w:val="zh_TW" w:bidi="zh_TW"/>
        </w:rPr>
        <w:t>）。</w:t>
      </w:r>
    </w:p>
    <w:p>
      <w:pPr/>
      <w:r>
        <w:rPr>
          <w:lang w:val="zh_TW" w:bidi="zh_TW"/>
        </w:rPr>
      </w:r>
      <w:r>
        <w:rPr>
          <w:lang w:val="zh_TW" w:bidi="zh_TW"/>
        </w:rPr>
        <w:t>祭司在神與以色列人之間，擔當立約的中保，負責解釋何謂聖潔，以及如何在社群中實踐聖潔。贖罪祭提供了罪得赦免、與神和好的途徑。非贖罪祭則是透過供物與共享筵席，表達人與神之間的關係。周圍的異教民族向他們的神獻祭，往往是為了討好神，換取祝福；但以色列的敬拜，並不是為了操控神，而是為了預備自己，使他們可以坦然來到神面前。利未記中的各種律法、儀式與聖日，都在教導以色列人神是聖潔的，並期望祂的子民也要聖潔（</w:t>
      </w:r>
      <w:r>
        <w:rPr>
          <w:lang w:val="zh_TW" w:bidi="zh_TW"/>
        </w:rPr>
        <w:t>利11:44–45，</w:t>
      </w:r>
      <w:r>
        <w:rPr>
          <w:lang w:val="zh_TW" w:bidi="zh_TW"/>
        </w:rPr>
        <w:t>19:2</w:t>
      </w:r>
      <w:r>
        <w:rPr>
          <w:lang w:val="zh_TW" w:bidi="zh_TW"/>
        </w:rPr>
        <w:t>；見</w:t>
      </w:r>
      <w:r>
        <w:rPr>
          <w:lang w:val="zh_TW" w:bidi="zh_TW"/>
        </w:rPr>
        <w:t>林前3:17</w:t>
      </w:r>
      <w:r>
        <w:rPr>
          <w:lang w:val="zh_TW" w:bidi="zh_TW"/>
        </w:rPr>
        <w:t>；</w:t>
      </w:r>
      <w:r>
        <w:rPr>
          <w:lang w:val="zh_TW" w:bidi="zh_TW"/>
        </w:rPr>
        <w:t>彼前1:15</w:t>
      </w:r>
      <w:r>
        <w:rPr>
          <w:lang w:val="zh_TW" w:bidi="zh_TW"/>
        </w:rPr>
        <w:t>）。</w:t>
      </w:r>
    </w:p>
    <w:p>
      <w:pPr/>
      <w:r>
        <w:rPr>
          <w:lang w:val="zh_TW" w:bidi="zh_TW"/>
        </w:rPr>
      </w:r>
      <w:r>
        <w:rPr>
          <w:lang w:val="zh_TW" w:bidi="zh_TW"/>
        </w:rPr>
        <w:t>罪的赦免以及與神和好的過程，也直接關係到人與人之間的相處。利未記充滿了對社會公義的關懷，明確規定了以色列人對鄰舍、窮人與外邦人的責任。神期望那些與祂立約的人，彼此相愛，作為祂愛的彰顯（參</w:t>
      </w:r>
      <w:r>
        <w:rPr>
          <w:lang w:val="zh_TW" w:bidi="zh_TW"/>
        </w:rPr>
        <w:t>太22:39；</w:t>
      </w:r>
      <w:r>
        <w:rPr>
          <w:lang w:val="zh_TW" w:bidi="zh_TW"/>
        </w:rPr>
        <w:t>可12:31；</w:t>
      </w:r>
      <w:r>
        <w:rPr>
          <w:lang w:val="zh_TW" w:bidi="zh_TW"/>
        </w:rPr>
        <w:t>路10:27；</w:t>
      </w:r>
      <w:r>
        <w:rPr>
          <w:lang w:val="zh_TW" w:bidi="zh_TW"/>
        </w:rPr>
        <w:t>羅13:9；</w:t>
      </w:r>
      <w:r>
        <w:rPr>
          <w:lang w:val="zh_TW" w:bidi="zh_TW"/>
        </w:rPr>
        <w:t>加5:14；</w:t>
      </w:r>
      <w:r>
        <w:rPr>
          <w:lang w:val="zh_TW" w:bidi="zh_TW"/>
        </w:rPr>
        <w:t>雅2:8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