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hyperlink r:id="rId13">
        <w:r>
          <w:rPr>
            <w:lang w:val="pt_PT" w:bidi="pt_PT"/>
          </w:rPr>
          <w:rPr>
            <w:color w:val="0000EE"/>
            <w:u w:val="single"/>
          </w:rPr>
          <w:t>Êx 20–23</w:t>
        </w:r>
      </w:hyperlink>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4">
        <w:r>
          <w:rPr>
            <w:lang w:val="pt_PT" w:bidi="pt_PT"/>
          </w:rPr>
          <w:rPr>
            <w:color w:val="0000EE"/>
            <w:u w:val="single"/>
          </w:rPr>
          <w:t>Êx 19–24</w:t>
        </w:r>
      </w:hyperlink>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hyperlink r:id="rId15">
        <w:r>
          <w:rPr>
            <w:lang w:val="pt_PT" w:bidi="pt_PT"/>
          </w:rPr>
          <w:rPr>
            <w:color w:val="0000EE"/>
            <w:u w:val="single"/>
          </w:rPr>
          <w:t>1.1–5</w:t>
        </w:r>
      </w:hyperlink>
      <w:r>
        <w:rPr>
          <w:lang w:val="pt_PT" w:bidi="pt_PT"/>
        </w:rPr>
        <w:t xml:space="preserve"> Preâmbulo da aliança</w:t>
      </w:r>
    </w:p>
    <w:p>
      <w:pPr>
        <w:pStyle w:val="ListBullet"/>
        <w:spacing w:line="240" w:lineRule="auto"/>
        <w:ind w:left="720"/>
      </w:pPr>
      <w:r>
        <w:rPr>
          <w:lang w:val="pt_PT" w:bidi="pt_PT"/>
        </w:rPr>
      </w:r>
      <w:hyperlink r:id="rId16">
        <w:r>
          <w:rPr>
            <w:lang w:val="pt_PT" w:bidi="pt_PT"/>
          </w:rPr>
          <w:rPr>
            <w:color w:val="0000EE"/>
            <w:u w:val="single"/>
          </w:rPr>
          <w:t>1.6–4.49</w:t>
        </w:r>
      </w:hyperlink>
      <w:r>
        <w:rPr>
          <w:lang w:val="pt_PT" w:bidi="pt_PT"/>
        </w:rPr>
        <w:t xml:space="preserve"> Prólogo histórico</w:t>
      </w:r>
    </w:p>
    <w:p>
      <w:pPr>
        <w:pStyle w:val="ListBullet"/>
        <w:spacing w:line="240" w:lineRule="auto"/>
        <w:ind w:left="720"/>
      </w:pPr>
      <w:r>
        <w:rPr>
          <w:lang w:val="pt_PT" w:bidi="pt_PT"/>
        </w:rPr>
      </w:r>
      <w:hyperlink r:id="rId17">
        <w:r>
          <w:rPr>
            <w:lang w:val="pt_PT" w:bidi="pt_PT"/>
          </w:rPr>
          <w:rPr>
            <w:color w:val="0000EE"/>
            <w:u w:val="single"/>
          </w:rPr>
          <w:t>5.1–26.15</w:t>
        </w:r>
      </w:hyperlink>
      <w:r>
        <w:rPr>
          <w:lang w:val="pt_PT" w:bidi="pt_PT"/>
        </w:rPr>
        <w:t xml:space="preserve"> Estipulações da aliança</w:t>
      </w:r>
    </w:p>
    <w:p>
      <w:pPr>
        <w:pStyle w:val="ListBullet"/>
        <w:spacing w:line="240" w:lineRule="auto"/>
        <w:ind w:left="720"/>
      </w:pPr>
      <w:r>
        <w:rPr>
          <w:lang w:val="pt_PT" w:bidi="pt_PT"/>
        </w:rPr>
      </w:r>
      <w:hyperlink r:id="rId18">
        <w:r>
          <w:rPr>
            <w:lang w:val="pt_PT" w:bidi="pt_PT"/>
          </w:rPr>
          <w:rPr>
            <w:color w:val="0000EE"/>
            <w:u w:val="single"/>
          </w:rPr>
          <w:t>26.16–29.1</w:t>
        </w:r>
      </w:hyperlink>
      <w:r>
        <w:rPr>
          <w:lang w:val="pt_PT" w:bidi="pt_PT"/>
        </w:rPr>
        <w:t xml:space="preserve"> Bênçãos pela obediência e maldições pela desobediência</w:t>
      </w:r>
    </w:p>
    <w:p>
      <w:pPr>
        <w:pStyle w:val="ListBullet"/>
        <w:spacing w:line="240" w:lineRule="auto"/>
        <w:ind w:left="720"/>
      </w:pPr>
      <w:r>
        <w:rPr>
          <w:lang w:val="pt_PT" w:bidi="pt_PT"/>
        </w:rPr>
      </w:r>
      <w:hyperlink r:id="rId19">
        <w:r>
          <w:rPr>
            <w:lang w:val="pt_PT" w:bidi="pt_PT"/>
          </w:rPr>
          <w:rPr>
            <w:color w:val="0000EE"/>
            <w:u w:val="single"/>
          </w:rPr>
          <w:t>29.2–30.20</w:t>
        </w:r>
      </w:hyperlink>
      <w:r>
        <w:rPr>
          <w:lang w:val="pt_PT" w:bidi="pt_PT"/>
        </w:rPr>
        <w:t xml:space="preserve"> Revisão da aliança e escolha entre vida e morte</w:t>
      </w:r>
    </w:p>
    <w:p>
      <w:pPr>
        <w:pStyle w:val="ListBullet"/>
        <w:spacing w:line="240" w:lineRule="auto"/>
        <w:ind w:left="720"/>
      </w:pPr>
      <w:r>
        <w:rPr>
          <w:lang w:val="pt_PT" w:bidi="pt_PT"/>
        </w:rPr>
      </w:r>
      <w:hyperlink r:id="rId20">
        <w:r>
          <w:rPr>
            <w:lang w:val="pt_PT" w:bidi="pt_PT"/>
          </w:rPr>
          <w:rPr>
            <w:color w:val="0000EE"/>
            <w:u w:val="single"/>
          </w:rPr>
          <w:t>31.1–29</w:t>
        </w:r>
      </w:hyperlink>
      <w:r>
        <w:rPr>
          <w:lang w:val="pt_PT" w:bidi="pt_PT"/>
        </w:rPr>
        <w:t xml:space="preserve"> Depósito do texto da aliança</w:t>
      </w:r>
    </w:p>
    <w:p>
      <w:pPr>
        <w:pStyle w:val="ListBullet"/>
        <w:spacing w:line="240" w:lineRule="auto"/>
        <w:ind w:left="720"/>
      </w:pPr>
      <w:r>
        <w:rPr>
          <w:lang w:val="pt_PT" w:bidi="pt_PT"/>
        </w:rPr>
      </w:r>
      <w:hyperlink r:id="rId21">
        <w:r>
          <w:rPr>
            <w:lang w:val="pt_PT" w:bidi="pt_PT"/>
          </w:rPr>
          <w:rPr>
            <w:color w:val="0000EE"/>
            <w:u w:val="single"/>
          </w:rPr>
          <w:t>31.30–32.43</w:t>
        </w:r>
      </w:hyperlink>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hyperlink r:id="rId22">
        <w:r>
          <w:rPr>
            <w:lang w:val="pt_PT" w:bidi="pt_PT"/>
          </w:rPr>
          <w:rPr>
            <w:color w:val="0000EE"/>
            <w:u w:val="single"/>
          </w:rPr>
          <w:t>1Rs 2.3</w:t>
        </w:r>
      </w:hyperlink>
      <w:r>
        <w:rPr>
          <w:lang w:val="pt_PT" w:bidi="pt_PT"/>
        </w:rPr>
        <w:t xml:space="preserve">; </w:t>
      </w:r>
      <w:hyperlink r:id="rId23">
        <w:r>
          <w:rPr>
            <w:lang w:val="pt_PT" w:bidi="pt_PT"/>
          </w:rPr>
          <w:rPr>
            <w:color w:val="0000EE"/>
            <w:u w:val="single"/>
          </w:rPr>
          <w:t>2Rs 14.6</w:t>
        </w:r>
      </w:hyperlink>
      <w:r>
        <w:rPr>
          <w:lang w:val="pt_PT" w:bidi="pt_PT"/>
        </w:rPr>
        <w:t xml:space="preserve">; </w:t>
      </w:r>
      <w:hyperlink r:id="rId24">
        <w:r>
          <w:rPr>
            <w:lang w:val="pt_PT" w:bidi="pt_PT"/>
          </w:rPr>
          <w:rPr>
            <w:color w:val="0000EE"/>
            <w:u w:val="single"/>
          </w:rPr>
          <w:t>2Cr 25.4</w:t>
        </w:r>
      </w:hyperlink>
      <w:r>
        <w:rPr>
          <w:lang w:val="pt_PT" w:bidi="pt_PT"/>
        </w:rPr>
        <w:t xml:space="preserve">; </w:t>
      </w:r>
      <w:hyperlink r:id="rId25">
        <w:r>
          <w:rPr>
            <w:lang w:val="pt_PT" w:bidi="pt_PT"/>
          </w:rPr>
          <w:rPr>
            <w:color w:val="0000EE"/>
            <w:u w:val="single"/>
          </w:rPr>
          <w:t>Esdras 3.2</w:t>
        </w:r>
      </w:hyperlink>
      <w:r>
        <w:rPr>
          <w:lang w:val="pt_PT" w:bidi="pt_PT"/>
        </w:rPr>
        <w:t xml:space="preserve">; </w:t>
      </w:r>
      <w:hyperlink r:id="rId26">
        <w:r>
          <w:rPr>
            <w:lang w:val="pt_PT" w:bidi="pt_PT"/>
          </w:rPr>
          <w:rPr>
            <w:color w:val="0000EE"/>
            <w:u w:val="single"/>
          </w:rPr>
          <w:t>Mt 19.7</w:t>
        </w:r>
      </w:hyperlink>
      <w:r>
        <w:rPr>
          <w:lang w:val="pt_PT" w:bidi="pt_PT"/>
        </w:rPr>
        <w:t xml:space="preserve">; </w:t>
      </w:r>
      <w:hyperlink r:id="rId27">
        <w:r>
          <w:rPr>
            <w:lang w:val="pt_PT" w:bidi="pt_PT"/>
          </w:rPr>
          <w:rPr>
            <w:color w:val="0000EE"/>
            <w:u w:val="single"/>
          </w:rPr>
          <w:t>Marcos 12.19</w:t>
        </w:r>
      </w:hyperlink>
      <w:r>
        <w:rPr>
          <w:lang w:val="pt_PT" w:bidi="pt_PT"/>
        </w:rPr>
        <w:t xml:space="preserve">; </w:t>
      </w:r>
      <w:hyperlink r:id="rId28">
        <w:r>
          <w:rPr>
            <w:lang w:val="pt_PT" w:bidi="pt_PT"/>
          </w:rPr>
          <w:rPr>
            <w:color w:val="0000EE"/>
            <w:u w:val="single"/>
          </w:rPr>
          <w:t>Lucas 20.28</w:t>
        </w:r>
      </w:hyperlink>
      <w:r>
        <w:rPr>
          <w:lang w:val="pt_PT" w:bidi="pt_PT"/>
        </w:rPr>
        <w:t xml:space="preserve">; </w:t>
      </w:r>
      <w:hyperlink r:id="rId29">
        <w:r>
          <w:rPr>
            <w:lang w:val="pt_PT" w:bidi="pt_PT"/>
          </w:rPr>
          <w:rPr>
            <w:color w:val="0000EE"/>
            <w:u w:val="single"/>
          </w:rPr>
          <w:t>Atos 3.22–23</w:t>
        </w:r>
      </w:hyperlink>
      <w:r>
        <w:rPr>
          <w:lang w:val="pt_PT" w:bidi="pt_PT"/>
        </w:rPr>
        <w:t xml:space="preserve">; </w:t>
      </w:r>
      <w:hyperlink r:id="rId30">
        <w:r>
          <w:rPr>
            <w:lang w:val="pt_PT" w:bidi="pt_PT"/>
          </w:rPr>
          <w:rPr>
            <w:color w:val="0000EE"/>
            <w:u w:val="single"/>
          </w:rPr>
          <w:t>Rm 10.19</w:t>
        </w:r>
      </w:hyperlink>
      <w:r>
        <w:rPr>
          <w:lang w:val="pt_PT" w:bidi="pt_PT"/>
        </w:rPr>
        <w:t xml:space="preserve">; </w:t>
      </w:r>
      <w:hyperlink r:id="rId31">
        <w:r>
          <w:rPr>
            <w:lang w:val="pt_PT" w:bidi="pt_PT"/>
          </w:rPr>
          <w:rPr>
            <w:color w:val="0000EE"/>
            <w:u w:val="single"/>
          </w:rPr>
          <w:t>1Co 9.9</w:t>
        </w:r>
      </w:hyperlink>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2">
        <w:r>
          <w:rPr>
            <w:lang w:val="pt_PT" w:bidi="pt_PT"/>
          </w:rPr>
          <w:rPr>
            <w:color w:val="0000EE"/>
            <w:u w:val="single"/>
          </w:rPr>
          <w:t>2Rs 22.8–20</w:t>
        </w:r>
      </w:hyperlink>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hyperlink r:id="rId33">
        <w:r>
          <w:rPr>
            <w:lang w:val="pt_PT" w:bidi="pt_PT"/>
          </w:rPr>
          <w:rPr>
            <w:color w:val="0000EE"/>
            <w:u w:val="single"/>
          </w:rPr>
          <w:t>34.5–12</w:t>
        </w:r>
      </w:hyperlink>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4">
        <w:r>
          <w:rPr>
            <w:lang w:val="pt_PT" w:bidi="pt_PT"/>
          </w:rPr>
          <w:rPr>
            <w:color w:val="0000EE"/>
            <w:u w:val="single"/>
          </w:rPr>
          <w:t>Êxodo 4.22–23</w:t>
        </w:r>
      </w:hyperlink>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hyperlink r:id="rId35">
        <w:r>
          <w:rPr>
            <w:lang w:val="pt_PT" w:bidi="pt_PT"/>
          </w:rPr>
          <w:rPr>
            <w:color w:val="0000EE"/>
            <w:u w:val="single"/>
          </w:rPr>
          <w:t>Êx 19.7–8</w:t>
        </w:r>
      </w:hyperlink>
      <w:r>
        <w:rPr>
          <w:lang w:val="pt_PT" w:bidi="pt_PT"/>
        </w:rPr>
        <w:t>). Uma vez que eles a aceitaram, a distribuição de bênçãos e maldições, conforme descrito dentro da aliança, dependia deles obedecerem ou desobedecerem (</w:t>
      </w:r>
      <w:hyperlink r:id="rId36">
        <w:r>
          <w:rPr>
            <w:lang w:val="pt_PT" w:bidi="pt_PT"/>
          </w:rPr>
          <w:rPr>
            <w:color w:val="0000EE"/>
            <w:u w:val="single"/>
          </w:rPr>
          <w:t>28.1–6</w:t>
        </w:r>
      </w:hyperlink>
      <w:r>
        <w:rPr>
          <w:lang w:val="pt_PT" w:bidi="pt_PT"/>
        </w:rPr>
        <w:t>,</w:t>
      </w:r>
      <w:hyperlink r:id="rId37">
        <w:r>
          <w:rPr>
            <w:lang w:val="pt_PT" w:bidi="pt_PT"/>
          </w:rPr>
          <w:rPr>
            <w:color w:val="0000EE"/>
            <w:u w:val="single"/>
          </w:rPr>
          <w:t>15–19</w:t>
        </w:r>
      </w:hyperlink>
      <w:r>
        <w:rPr>
          <w:lang w:val="pt_PT" w:bidi="pt_PT"/>
        </w:rPr>
        <w:t>). No entanto, até a desobediência poderia ser superada caso a nação se arrependesse, retornasse e fosse restaurada de volta à comunhão da aliança (</w:t>
      </w:r>
      <w:hyperlink r:id="rId38">
        <w:r>
          <w:rPr>
            <w:lang w:val="pt_PT" w:bidi="pt_PT"/>
          </w:rPr>
          <w:rPr>
            <w:color w:val="0000EE"/>
            <w:u w:val="single"/>
          </w:rPr>
          <w:t>30.1–10</w:t>
        </w:r>
      </w:hyperlink>
      <w:r>
        <w:rPr>
          <w:lang w:val="pt_PT" w:bidi="pt_PT"/>
        </w:rPr>
        <w:t xml:space="preserve">; veja também </w:t>
      </w:r>
      <w:hyperlink r:id="rId39">
        <w:r>
          <w:rPr>
            <w:lang w:val="pt_PT" w:bidi="pt_PT"/>
          </w:rPr>
          <w:rPr>
            <w:color w:val="0000EE"/>
            <w:u w:val="single"/>
          </w:rPr>
          <w:t>Lv 26.40–45</w:t>
        </w:r>
      </w:hyperlink>
      <w:r>
        <w:rPr>
          <w:lang w:val="pt_PT" w:bidi="pt_PT"/>
        </w:rPr>
        <w:t>).</w:t>
      </w:r>
    </w:p>
    <w:p>
      <w:pPr/>
      <w:r>
        <w:rPr>
          <w:lang w:val="pt_PT" w:bidi="pt_PT"/>
        </w:rPr>
      </w:r>
      <w:r>
        <w:rPr>
          <w:lang w:val="pt_PT" w:bidi="pt_PT"/>
        </w:rPr>
        <w:t>Esta aliança não fez Israel o povo de Deus; a promessa de Deus a Abraão de uma descendência nacional já havia feito isso (</w:t>
      </w:r>
      <w:hyperlink r:id="rId40">
        <w:r>
          <w:rPr>
            <w:lang w:val="pt_PT" w:bidi="pt_PT"/>
          </w:rPr>
          <w:rPr>
            <w:color w:val="0000EE"/>
            <w:u w:val="single"/>
          </w:rPr>
          <w:t>Gn 17.1–8</w:t>
        </w:r>
      </w:hyperlink>
      <w:r>
        <w:rPr>
          <w:lang w:val="pt_PT" w:bidi="pt_PT"/>
        </w:rPr>
        <w:t>). A aliança feita no Sinai deu a Israel o privilégio de servir ao Senhor como um reino de sacerdotes (</w:t>
      </w:r>
      <w:hyperlink r:id="rId41">
        <w:r>
          <w:rPr>
            <w:lang w:val="pt_PT" w:bidi="pt_PT"/>
          </w:rPr>
          <w:rPr>
            <w:color w:val="0000EE"/>
            <w:u w:val="single"/>
          </w:rPr>
          <w:t>Êx 19.4–6</w:t>
        </w:r>
      </w:hyperlink>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