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hyperlink r:id="rId13">
        <w:r>
          <w:rPr>
            <w:lang w:val="pt_PT" w:bidi="pt_PT"/>
          </w:rPr>
          <w:rPr>
            <w:color w:val="0000EE"/>
            <w:u w:val="single"/>
          </w:rPr>
          <w:t>Ed 1.1–5</w:t>
        </w:r>
      </w:hyperlink>
      <w:r>
        <w:rPr>
          <w:lang w:val="pt_PT" w:bidi="pt_PT"/>
        </w:rPr>
        <w:t xml:space="preserve">; </w:t>
      </w:r>
      <w:hyperlink r:id="rId14">
        <w:r>
          <w:rPr>
            <w:lang w:val="pt_PT" w:bidi="pt_PT"/>
          </w:rPr>
          <w:rPr>
            <w:color w:val="0000EE"/>
            <w:u w:val="single"/>
          </w:rPr>
          <w:t>2.64–67</w:t>
        </w:r>
      </w:hyperlink>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hyperlink r:id="rId15">
        <w:r>
          <w:rPr>
            <w:lang w:val="pt_PT" w:bidi="pt_PT"/>
          </w:rPr>
          <w:rPr>
            <w:color w:val="0000EE"/>
            <w:u w:val="single"/>
          </w:rPr>
          <w:t>1.1–2.4</w:t>
        </w:r>
      </w:hyperlink>
      <w:r>
        <w:rPr>
          <w:lang w:val="pt_PT" w:bidi="pt_PT"/>
        </w:rPr>
        <w:t>). Ester, prima de Mordecai e judia, foi escolhida (</w:t>
      </w:r>
      <w:hyperlink r:id="rId16">
        <w:r>
          <w:rPr>
            <w:lang w:val="pt_PT" w:bidi="pt_PT"/>
          </w:rPr>
          <w:rPr>
            <w:color w:val="0000EE"/>
            <w:u w:val="single"/>
          </w:rPr>
          <w:t>2.5–18</w:t>
        </w:r>
      </w:hyperlink>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7">
        <w:r>
          <w:rPr>
            <w:lang w:val="pt_PT" w:bidi="pt_PT"/>
          </w:rPr>
          <w:rPr>
            <w:color w:val="0000EE"/>
            <w:u w:val="single"/>
          </w:rPr>
          <w:t>2.19–3.15</w:t>
        </w:r>
      </w:hyperlink>
      <w:r>
        <w:rPr>
          <w:lang w:val="pt_PT" w:bidi="pt_PT"/>
        </w:rPr>
        <w:t>). Enquanto a comunidade judaica orava (</w:t>
      </w:r>
      <w:hyperlink r:id="rId18">
        <w:r>
          <w:rPr>
            <w:lang w:val="pt_PT" w:bidi="pt_PT"/>
          </w:rPr>
          <w:rPr>
            <w:color w:val="0000EE"/>
            <w:u w:val="single"/>
          </w:rPr>
          <w:t>4.16</w:t>
        </w:r>
      </w:hyperlink>
      <w:r>
        <w:rPr>
          <w:lang w:val="pt_PT" w:bidi="pt_PT"/>
        </w:rPr>
        <w:t>), Ester colocou sua própria vida em risco, aproximando-se do rei sem ser convidada, e pediu ao rei e a Hamã que viessem a um banquete (</w:t>
      </w:r>
      <w:hyperlink r:id="rId19">
        <w:r>
          <w:rPr>
            <w:lang w:val="pt_PT" w:bidi="pt_PT"/>
          </w:rPr>
          <w:rPr>
            <w:color w:val="0000EE"/>
            <w:u w:val="single"/>
          </w:rPr>
          <w:t>cap. 4</w:t>
        </w:r>
      </w:hyperlink>
      <w:r>
        <w:rPr>
          <w:lang w:val="pt_PT" w:bidi="pt_PT"/>
        </w:rPr>
        <w:t>). Enquanto isso, Hamã havia construído uma estaca para enforcar Mordecai (</w:t>
      </w:r>
      <w:hyperlink r:id="rId20">
        <w:r>
          <w:rPr>
            <w:lang w:val="pt_PT" w:bidi="pt_PT"/>
          </w:rPr>
          <w:rPr>
            <w:color w:val="0000EE"/>
            <w:u w:val="single"/>
          </w:rPr>
          <w:t>5.14</w:t>
        </w:r>
      </w:hyperlink>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hyperlink r:id="rId21">
        <w:r>
          <w:rPr>
            <w:lang w:val="pt_PT" w:bidi="pt_PT"/>
          </w:rPr>
          <w:rPr>
            <w:color w:val="0000EE"/>
            <w:u w:val="single"/>
          </w:rPr>
          <w:t>cap. 6</w:t>
        </w:r>
      </w:hyperlink>
      <w:r>
        <w:rPr>
          <w:lang w:val="pt_PT" w:bidi="pt_PT"/>
        </w:rPr>
        <w:t>). Então, no banquete, Ester revelou que o plano de Hamã era um ataque pessoal ao seu povo. Hamã foi enforcado em sua própria estaca, morto em sua própria forca (</w:t>
      </w:r>
      <w:hyperlink r:id="rId22">
        <w:r>
          <w:rPr>
            <w:lang w:val="pt_PT" w:bidi="pt_PT"/>
          </w:rPr>
          <w:rPr>
            <w:color w:val="0000EE"/>
            <w:u w:val="single"/>
          </w:rPr>
          <w:t>cap. 7</w:t>
        </w:r>
      </w:hyperlink>
      <w:r>
        <w:rPr>
          <w:lang w:val="pt_PT" w:bidi="pt_PT"/>
        </w:rPr>
        <w:t>).</w:t>
      </w:r>
    </w:p>
    <w:p>
      <w:pPr/>
      <w:r>
        <w:rPr>
          <w:lang w:val="pt_PT" w:bidi="pt_PT"/>
        </w:rPr>
      </w:r>
      <w:r>
        <w:rPr>
          <w:lang w:val="pt_PT" w:bidi="pt_PT"/>
        </w:rPr>
        <w:t>O rei Xerxes então permitiu que o povo judeu se defendesse de seus inimigos (</w:t>
      </w:r>
      <w:hyperlink r:id="rId23">
        <w:r>
          <w:rPr>
            <w:lang w:val="pt_PT" w:bidi="pt_PT"/>
          </w:rPr>
          <w:rPr>
            <w:color w:val="0000EE"/>
            <w:u w:val="single"/>
          </w:rPr>
          <w:t>8.1–14</w:t>
        </w:r>
      </w:hyperlink>
      <w:r>
        <w:rPr>
          <w:lang w:val="pt_PT" w:bidi="pt_PT"/>
        </w:rPr>
        <w:t>). Os judeus se alegraram, Mordecai foi promovido, e os filhos de Hamã foram executados (</w:t>
      </w:r>
      <w:hyperlink r:id="rId24">
        <w:r>
          <w:rPr>
            <w:lang w:val="pt_PT" w:bidi="pt_PT"/>
          </w:rPr>
          <w:rPr>
            <w:color w:val="0000EE"/>
            <w:u w:val="single"/>
          </w:rPr>
          <w:t>9.1–17</w:t>
        </w:r>
      </w:hyperlink>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hyperlink r:id="rId25">
        <w:r>
          <w:rPr>
            <w:lang w:val="pt_PT" w:bidi="pt_PT"/>
          </w:rPr>
          <w:rPr>
            <w:color w:val="0000EE"/>
            <w:u w:val="single"/>
          </w:rPr>
          <w:t>Gn 37–48</w:t>
        </w:r>
      </w:hyperlink>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hyperlink r:id="rId25">
        <w:r>
          <w:rPr>
            <w:lang w:val="pt_PT" w:bidi="pt_PT"/>
          </w:rPr>
          <w:rPr>
            <w:color w:val="0000EE"/>
            <w:u w:val="single"/>
          </w:rPr>
          <w:t>Gn 37–48</w:t>
        </w:r>
      </w:hyperlink>
      <w:r>
        <w:rPr>
          <w:lang w:val="pt_PT" w:bidi="pt_PT"/>
        </w:rPr>
        <w:t xml:space="preserve">; </w:t>
      </w:r>
      <w:hyperlink r:id="rId26">
        <w:r>
          <w:rPr>
            <w:lang w:val="pt_PT" w:bidi="pt_PT"/>
          </w:rPr>
          <w:rPr>
            <w:color w:val="0000EE"/>
            <w:u w:val="single"/>
          </w:rPr>
          <w:t>Rt 1–4</w:t>
        </w:r>
      </w:hyperlink>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7">
        <w:r>
          <w:rPr>
            <w:lang w:val="pt_PT" w:bidi="pt_PT"/>
          </w:rPr>
          <w:rPr>
            <w:color w:val="0000EE"/>
            <w:u w:val="single"/>
          </w:rPr>
          <w:t>1–2</w:t>
        </w:r>
      </w:hyperlink>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