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3">
        <w:r>
          <w:rPr>
            <w:lang w:val="hi_IN" w:bidi="hi_IN"/>
          </w:rPr>
          <w:rPr>
            <w:color w:val="0000EE"/>
            <w:u w:val="single"/>
          </w:rPr>
          <w:t>प्रेरि 13:13–14:28</w:t>
        </w:r>
      </w:hyperlink>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4">
        <w:r>
          <w:rPr>
            <w:lang w:val="hi_IN" w:bidi="hi_IN"/>
          </w:rPr>
          <w:rPr>
            <w:color w:val="0000EE"/>
            <w:u w:val="single"/>
          </w:rPr>
          <w:t>प्रेरि 14:27</w:t>
        </w:r>
      </w:hyperlink>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hyperlink r:id="rId15">
        <w:r>
          <w:rPr>
            <w:lang w:val="hi_IN" w:bidi="hi_IN"/>
          </w:rPr>
          <w:rPr>
            <w:color w:val="0000EE"/>
            <w:u w:val="single"/>
          </w:rPr>
          <w:t>प्रेरि 10:1–48</w:t>
        </w:r>
      </w:hyperlink>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hyperlink r:id="rId16">
        <w:r>
          <w:rPr>
            <w:lang w:val="hi_IN" w:bidi="hi_IN"/>
          </w:rPr>
          <w:rPr>
            <w:color w:val="0000EE"/>
            <w:u w:val="single"/>
          </w:rPr>
          <w:t>प्रेरि 15:1–41</w:t>
        </w:r>
      </w:hyperlink>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7">
        <w:r>
          <w:rPr>
            <w:lang w:val="hi_IN" w:bidi="hi_IN"/>
          </w:rPr>
          <w:rPr>
            <w:color w:val="0000EE"/>
            <w:u w:val="single"/>
          </w:rPr>
          <w:t>प्रेरि 11:1–18</w:t>
        </w:r>
      </w:hyperlink>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hyperlink r:id="rId18">
        <w:r>
          <w:rPr>
            <w:lang w:val="hi_IN" w:bidi="hi_IN"/>
          </w:rPr>
          <w:rPr>
            <w:color w:val="0000EE"/>
            <w:u w:val="single"/>
          </w:rPr>
          <w:t>गला 1:1–5</w:t>
        </w:r>
      </w:hyperlink>
      <w:r>
        <w:rPr>
          <w:lang w:val="hi_IN" w:bidi="hi_IN"/>
        </w:rPr>
        <w:t>), पौलुस सीधे अपने शोध प्रबंध में प्रवेश करते हैं: वह सुसमाचार जो वह प्रचार करते हैं, वही एकमात्र सच्चा सुसमाचार है (</w:t>
      </w:r>
      <w:hyperlink r:id="rId19">
        <w:r>
          <w:rPr>
            <w:lang w:val="hi_IN" w:bidi="hi_IN"/>
          </w:rPr>
          <w:rPr>
            <w:color w:val="0000EE"/>
            <w:u w:val="single"/>
          </w:rPr>
          <w:t>1:6–7</w:t>
        </w:r>
      </w:hyperlink>
      <w:r>
        <w:rPr>
          <w:lang w:val="hi_IN" w:bidi="hi_IN"/>
        </w:rPr>
        <w:t>), वह मसीह के एक सच्चे प्रेरित हैं (</w:t>
      </w:r>
      <w:hyperlink r:id="rId20">
        <w:r>
          <w:rPr>
            <w:lang w:val="hi_IN" w:bidi="hi_IN"/>
          </w:rPr>
          <w:rPr>
            <w:color w:val="0000EE"/>
            <w:u w:val="single"/>
          </w:rPr>
          <w:t>1:1</w:t>
        </w:r>
      </w:hyperlink>
      <w:r>
        <w:rPr>
          <w:lang w:val="hi_IN" w:bidi="hi_IN"/>
        </w:rPr>
        <w:t xml:space="preserve">, </w:t>
      </w:r>
      <w:hyperlink r:id="rId21">
        <w:r>
          <w:rPr>
            <w:lang w:val="hi_IN" w:bidi="hi_IN"/>
          </w:rPr>
          <w:rPr>
            <w:color w:val="0000EE"/>
            <w:u w:val="single"/>
          </w:rPr>
          <w:t>10</w:t>
        </w:r>
      </w:hyperlink>
      <w:r>
        <w:rPr>
          <w:lang w:val="hi_IN" w:bidi="hi_IN"/>
        </w:rPr>
        <w:t>), और उनके विरोधी अपने झूठे संदेश के लिए परमेश्वर के न्याय का सामना करेंगे (</w:t>
      </w:r>
      <w:hyperlink r:id="rId22">
        <w:r>
          <w:rPr>
            <w:lang w:val="hi_IN" w:bidi="hi_IN"/>
          </w:rPr>
          <w:rPr>
            <w:color w:val="0000EE"/>
            <w:u w:val="single"/>
          </w:rPr>
          <w:t>1:8–9</w:t>
        </w:r>
      </w:hyperlink>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hyperlink r:id="rId23">
        <w:r>
          <w:rPr>
            <w:lang w:val="hi_IN" w:bidi="hi_IN"/>
          </w:rPr>
          <w:rPr>
            <w:color w:val="0000EE"/>
            <w:u w:val="single"/>
          </w:rPr>
          <w:t>1:11–2:21</w:t>
        </w:r>
      </w:hyperlink>
      <w:r>
        <w:rPr>
          <w:lang w:val="hi_IN" w:bidi="hi_IN"/>
        </w:rPr>
        <w:t>)। इस उद्देश्य के लिए, पौलुस गलातियों को याद दिलाते हैं कि वह किस प्रकार के व्यक्ति हुआ करते थे (</w:t>
      </w:r>
      <w:hyperlink r:id="rId24">
        <w:r>
          <w:rPr>
            <w:lang w:val="hi_IN" w:bidi="hi_IN"/>
          </w:rPr>
          <w:rPr>
            <w:color w:val="0000EE"/>
            <w:u w:val="single"/>
          </w:rPr>
          <w:t>1:13–14</w:t>
        </w:r>
      </w:hyperlink>
      <w:r>
        <w:rPr>
          <w:lang w:val="hi_IN" w:bidi="hi_IN"/>
        </w:rPr>
        <w:t>) और अपने परिवर्तन के अनुभव और परमेश्वर द्वारा अपनी बुलाहट का वर्णन करते हैं (</w:t>
      </w:r>
      <w:hyperlink r:id="rId25">
        <w:r>
          <w:rPr>
            <w:lang w:val="hi_IN" w:bidi="hi_IN"/>
          </w:rPr>
          <w:rPr>
            <w:color w:val="0000EE"/>
            <w:u w:val="single"/>
          </w:rPr>
          <w:t>1:15–16अ</w:t>
        </w:r>
      </w:hyperlink>
      <w:r>
        <w:rPr>
          <w:lang w:val="hi_IN" w:bidi="hi_IN"/>
        </w:rPr>
        <w:t>)। पौलुस ने सुसमाचार को मसीह के प्रकाशन से सीधे रूप में प्राप्त किया (</w:t>
      </w:r>
      <w:hyperlink r:id="rId26">
        <w:r>
          <w:rPr>
            <w:lang w:val="hi_IN" w:bidi="hi_IN"/>
          </w:rPr>
          <w:rPr>
            <w:color w:val="0000EE"/>
            <w:u w:val="single"/>
          </w:rPr>
          <w:t>1:11–12</w:t>
        </w:r>
      </w:hyperlink>
      <w:r>
        <w:rPr>
          <w:lang w:val="hi_IN" w:bidi="hi_IN"/>
        </w:rPr>
        <w:t>) न कि यरूशलेम में अन्य प्रेरितों से प्राप्त किया (</w:t>
      </w:r>
      <w:hyperlink r:id="rId27">
        <w:r>
          <w:rPr>
            <w:lang w:val="hi_IN" w:bidi="hi_IN"/>
          </w:rPr>
          <w:rPr>
            <w:color w:val="0000EE"/>
            <w:u w:val="single"/>
          </w:rPr>
          <w:t>1:16–24</w:t>
        </w:r>
      </w:hyperlink>
      <w:r>
        <w:rPr>
          <w:lang w:val="hi_IN" w:bidi="hi_IN"/>
        </w:rPr>
        <w:t>)। फिर भी, अन्य प्रेरितों ने पौलुस की प्रेरिताई और संदेश को मान्यता दी (</w:t>
      </w:r>
      <w:hyperlink r:id="rId28">
        <w:r>
          <w:rPr>
            <w:lang w:val="hi_IN" w:bidi="hi_IN"/>
          </w:rPr>
          <w:rPr>
            <w:color w:val="0000EE"/>
            <w:u w:val="single"/>
          </w:rPr>
          <w:t>2:1–10</w:t>
        </w:r>
      </w:hyperlink>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29">
        <w:r>
          <w:rPr>
            <w:lang w:val="hi_IN" w:bidi="hi_IN"/>
          </w:rPr>
          <w:rPr>
            <w:color w:val="0000EE"/>
            <w:u w:val="single"/>
          </w:rPr>
          <w:t>2:11–21</w:t>
        </w:r>
      </w:hyperlink>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hyperlink r:id="rId30">
        <w:r>
          <w:rPr>
            <w:lang w:val="hi_IN" w:bidi="hi_IN"/>
          </w:rPr>
          <w:rPr>
            <w:color w:val="0000EE"/>
            <w:u w:val="single"/>
          </w:rPr>
          <w:t>3:1–5:12</w:t>
        </w:r>
      </w:hyperlink>
      <w:r>
        <w:rPr>
          <w:lang w:val="hi_IN" w:bidi="hi_IN"/>
        </w:rPr>
        <w:t>)। गलातिया के लोगों ने आत्मा का अनुभव विश्वास के द्वारा किया था (</w:t>
      </w:r>
      <w:hyperlink r:id="rId31">
        <w:r>
          <w:rPr>
            <w:lang w:val="hi_IN" w:bidi="hi_IN"/>
          </w:rPr>
          <w:rPr>
            <w:color w:val="0000EE"/>
            <w:u w:val="single"/>
          </w:rPr>
          <w:t>3:1–5</w:t>
        </w:r>
      </w:hyperlink>
      <w:r>
        <w:rPr>
          <w:lang w:val="hi_IN" w:bidi="hi_IN"/>
        </w:rPr>
        <w:t>), इसलिए वे—जैसे सभी जो मसीह में विश्वास रखते हैं—उसी आशीष का अनुभव करेंगे जो अब्राहम को मिली थी (</w:t>
      </w:r>
      <w:hyperlink r:id="rId32">
        <w:r>
          <w:rPr>
            <w:lang w:val="hi_IN" w:bidi="hi_IN"/>
          </w:rPr>
          <w:rPr>
            <w:color w:val="0000EE"/>
            <w:u w:val="single"/>
          </w:rPr>
          <w:t>3:6–9</w:t>
        </w:r>
      </w:hyperlink>
      <w:r>
        <w:rPr>
          <w:lang w:val="hi_IN" w:bidi="hi_IN"/>
        </w:rPr>
        <w:t>)। इसके विपरीत, व्यवस्था का पालन करके धार्मिक बनने की कोशिश करना केवल श्राप लाता है (</w:t>
      </w:r>
      <w:hyperlink r:id="rId33">
        <w:r>
          <w:rPr>
            <w:lang w:val="hi_IN" w:bidi="hi_IN"/>
          </w:rPr>
          <w:rPr>
            <w:color w:val="0000EE"/>
            <w:u w:val="single"/>
          </w:rPr>
          <w:t>3:10–12</w:t>
        </w:r>
      </w:hyperlink>
      <w:r>
        <w:rPr>
          <w:lang w:val="hi_IN" w:bidi="hi_IN"/>
        </w:rPr>
        <w:t>)। मसीह ने हमें उस श्राप से बचाया और परमेश्वर की आशीष उन सभी के लिए उपलब्ध कराई जो उन पर विश्वास करते हैं (</w:t>
      </w:r>
      <w:hyperlink r:id="rId34">
        <w:r>
          <w:rPr>
            <w:lang w:val="hi_IN" w:bidi="hi_IN"/>
          </w:rPr>
          <w:rPr>
            <w:color w:val="0000EE"/>
            <w:u w:val="single"/>
          </w:rPr>
          <w:t>3:13–14</w:t>
        </w:r>
      </w:hyperlink>
      <w:r>
        <w:rPr>
          <w:lang w:val="hi_IN" w:bidi="hi_IN"/>
        </w:rPr>
        <w:t>)। परमेश्वर का वादा अब्राहम को दिखाता है कि वादा विश्वास के आधार पर दिया गया है, न कि व्यवस्था के आधार पर (</w:t>
      </w:r>
      <w:hyperlink r:id="rId35">
        <w:r>
          <w:rPr>
            <w:lang w:val="hi_IN" w:bidi="hi_IN"/>
          </w:rPr>
          <w:rPr>
            <w:color w:val="0000EE"/>
            <w:u w:val="single"/>
          </w:rPr>
          <w:t>3:15–18</w:t>
        </w:r>
      </w:hyperlink>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6">
        <w:r>
          <w:rPr>
            <w:lang w:val="hi_IN" w:bidi="hi_IN"/>
          </w:rPr>
          <w:rPr>
            <w:color w:val="0000EE"/>
            <w:u w:val="single"/>
          </w:rPr>
          <w:t>3:19–22</w:t>
        </w:r>
      </w:hyperlink>
      <w:r>
        <w:rPr>
          <w:lang w:val="hi_IN" w:bidi="hi_IN"/>
        </w:rPr>
        <w:t>)। अब जब मसीह आ चुके हैं, जो लोग उन पर विश्वास करते हैं वे परमेश्वर के बच्चे और उनकी प्रतिज्ञाओं के उत्तराधिकारी हैं (</w:t>
      </w:r>
      <w:hyperlink r:id="rId37">
        <w:r>
          <w:rPr>
            <w:lang w:val="hi_IN" w:bidi="hi_IN"/>
          </w:rPr>
          <w:rPr>
            <w:color w:val="0000EE"/>
            <w:u w:val="single"/>
          </w:rPr>
          <w:t>3:23–4:7</w:t>
        </w:r>
      </w:hyperlink>
      <w:r>
        <w:rPr>
          <w:lang w:val="hi_IN" w:bidi="hi_IN"/>
        </w:rPr>
        <w:t>)। इस दृष्टिकोण से, गलातिया के लोगों का व्यवस्था पर भरोसा करना दासत्व की ओर भयानक वापसी थी (</w:t>
      </w:r>
      <w:hyperlink r:id="rId38">
        <w:r>
          <w:rPr>
            <w:lang w:val="hi_IN" w:bidi="hi_IN"/>
          </w:rPr>
          <w:rPr>
            <w:color w:val="0000EE"/>
            <w:u w:val="single"/>
          </w:rPr>
          <w:t>4:8–11</w:t>
        </w:r>
      </w:hyperlink>
      <w:r>
        <w:rPr>
          <w:lang w:val="hi_IN" w:bidi="hi_IN"/>
        </w:rPr>
        <w:t>), इसलिए पौलुस व्यक्तिगत रूप से उनसे पुनर्विचार करने की अपील करते हैं (</w:t>
      </w:r>
      <w:hyperlink r:id="rId39">
        <w:r>
          <w:rPr>
            <w:lang w:val="hi_IN" w:bidi="hi_IN"/>
          </w:rPr>
          <w:rPr>
            <w:color w:val="0000EE"/>
            <w:u w:val="single"/>
          </w:rPr>
          <w:t>4:12–20</w:t>
        </w:r>
      </w:hyperlink>
      <w:r>
        <w:rPr>
          <w:lang w:val="hi_IN" w:bidi="hi_IN"/>
        </w:rPr>
        <w:t>)। वह हागार और सारा और पुरानी और नई वाचा के बीच एक उपमा खींचते हैं, यह दिखाते हुए कि मसीह स्वतंत्रता लाते हैं, न कि दासत्व (</w:t>
      </w:r>
      <w:hyperlink r:id="rId40">
        <w:r>
          <w:rPr>
            <w:lang w:val="hi_IN" w:bidi="hi_IN"/>
          </w:rPr>
          <w:rPr>
            <w:color w:val="0000EE"/>
            <w:u w:val="single"/>
          </w:rPr>
          <w:t>4:21–31</w:t>
        </w:r>
      </w:hyperlink>
      <w:r>
        <w:rPr>
          <w:lang w:val="hi_IN" w:bidi="hi_IN"/>
        </w:rPr>
        <w:t>)। परमेश्वर के लोगों को स्वतंत्रता में जीना चाहिए (</w:t>
      </w:r>
      <w:hyperlink r:id="rId41">
        <w:r>
          <w:rPr>
            <w:lang w:val="hi_IN" w:bidi="hi_IN"/>
          </w:rPr>
          <w:rPr>
            <w:color w:val="0000EE"/>
            <w:u w:val="single"/>
          </w:rPr>
          <w:t>5:1</w:t>
        </w:r>
      </w:hyperlink>
      <w:r>
        <w:rPr>
          <w:lang w:val="hi_IN" w:bidi="hi_IN"/>
        </w:rPr>
        <w:t>), उद्धार के लिए व्यवस्था की आज्ञाकारिता पर निर्भरता को अस्वीकार करना चाहिए (</w:t>
      </w:r>
      <w:hyperlink r:id="rId42">
        <w:r>
          <w:rPr>
            <w:lang w:val="hi_IN" w:bidi="hi_IN"/>
          </w:rPr>
          <w:rPr>
            <w:color w:val="0000EE"/>
            <w:u w:val="single"/>
          </w:rPr>
          <w:t>5:2–4</w:t>
        </w:r>
      </w:hyperlink>
      <w:r>
        <w:rPr>
          <w:lang w:val="hi_IN" w:bidi="hi_IN"/>
        </w:rPr>
        <w:t>), और विश्वास से जीना चाहिए (</w:t>
      </w:r>
      <w:hyperlink r:id="rId43">
        <w:r>
          <w:rPr>
            <w:lang w:val="hi_IN" w:bidi="hi_IN"/>
          </w:rPr>
          <w:rPr>
            <w:color w:val="0000EE"/>
            <w:u w:val="single"/>
          </w:rPr>
          <w:t>5:5–6</w:t>
        </w:r>
      </w:hyperlink>
      <w:r>
        <w:rPr>
          <w:lang w:val="hi_IN" w:bidi="hi_IN"/>
        </w:rPr>
        <w:t>), क्योंकि व्यवस्था के माध्यम से उद्धार का संदेश परमेश्वर से नहीं है (</w:t>
      </w:r>
      <w:hyperlink r:id="rId44">
        <w:r>
          <w:rPr>
            <w:lang w:val="hi_IN" w:bidi="hi_IN"/>
          </w:rPr>
          <w:rPr>
            <w:color w:val="0000EE"/>
            <w:u w:val="single"/>
          </w:rPr>
          <w:t>5:7–12</w:t>
        </w:r>
      </w:hyperlink>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5">
        <w:r>
          <w:rPr>
            <w:lang w:val="hi_IN" w:bidi="hi_IN"/>
          </w:rPr>
          <w:rPr>
            <w:color w:val="0000EE"/>
            <w:u w:val="single"/>
          </w:rPr>
          <w:t>5:13–6:10</w:t>
        </w:r>
      </w:hyperlink>
      <w:r>
        <w:rPr>
          <w:lang w:val="hi_IN" w:bidi="hi_IN"/>
        </w:rPr>
        <w:t>)। स्वतंत्रता पाप के बजाय प्रेम करने का अवसर प्रदान करती है (</w:t>
      </w:r>
      <w:hyperlink r:id="rId46">
        <w:r>
          <w:rPr>
            <w:lang w:val="hi_IN" w:bidi="hi_IN"/>
          </w:rPr>
          <w:rPr>
            <w:color w:val="0000EE"/>
            <w:u w:val="single"/>
          </w:rPr>
          <w:t>5:13–15</w:t>
        </w:r>
      </w:hyperlink>
      <w:r>
        <w:rPr>
          <w:lang w:val="hi_IN" w:bidi="hi_IN"/>
        </w:rPr>
        <w:t>), और पाप पर विजय पाने का एकमात्र तरीका पवित्र आत्मा की शक्ति से जीना है (</w:t>
      </w:r>
      <w:hyperlink r:id="rId47">
        <w:r>
          <w:rPr>
            <w:lang w:val="hi_IN" w:bidi="hi_IN"/>
          </w:rPr>
          <w:rPr>
            <w:color w:val="0000EE"/>
            <w:u w:val="single"/>
          </w:rPr>
          <w:t>5:16–18</w:t>
        </w:r>
      </w:hyperlink>
      <w:r>
        <w:rPr>
          <w:lang w:val="hi_IN" w:bidi="hi_IN"/>
        </w:rPr>
        <w:t>)। मनुष्य के प्रयास से पाप पर विजय नहीं पाई जा सकती, क्योंकि पापी स्वभाव केवल पापी कार्य ही उत्पन्न कर सकता है (</w:t>
      </w:r>
      <w:hyperlink r:id="rId48">
        <w:r>
          <w:rPr>
            <w:lang w:val="hi_IN" w:bidi="hi_IN"/>
          </w:rPr>
          <w:rPr>
            <w:color w:val="0000EE"/>
            <w:u w:val="single"/>
          </w:rPr>
          <w:t>5:19–21</w:t>
        </w:r>
      </w:hyperlink>
      <w:r>
        <w:rPr>
          <w:lang w:val="hi_IN" w:bidi="hi_IN"/>
        </w:rPr>
        <w:t>)। इसके विपरीत, पवित्र आत्मा की शक्ति में जीने से अच्छे फल उत्पन्न होते हैं (</w:t>
      </w:r>
      <w:hyperlink r:id="rId49">
        <w:r>
          <w:rPr>
            <w:lang w:val="hi_IN" w:bidi="hi_IN"/>
          </w:rPr>
          <w:rPr>
            <w:color w:val="0000EE"/>
            <w:u w:val="single"/>
          </w:rPr>
          <w:t>5:22–23</w:t>
        </w:r>
      </w:hyperlink>
      <w:r>
        <w:rPr>
          <w:lang w:val="hi_IN" w:bidi="hi_IN"/>
        </w:rPr>
        <w:t>)। पौलुस परमेश्वर के बच्चों के जीवन में आत्मा के नेतृत्व के कई उदाहरण देते हैं (</w:t>
      </w:r>
      <w:hyperlink r:id="rId50">
        <w:r>
          <w:rPr>
            <w:lang w:val="hi_IN" w:bidi="hi_IN"/>
          </w:rPr>
          <w:rPr>
            <w:color w:val="0000EE"/>
            <w:u w:val="single"/>
          </w:rPr>
          <w:t>5:24–6:10</w:t>
        </w:r>
      </w:hyperlink>
      <w:r>
        <w:rPr>
          <w:lang w:val="hi_IN" w:bidi="hi_IN"/>
        </w:rPr>
        <w:t>)।</w:t>
      </w:r>
    </w:p>
    <w:p>
      <w:pPr/>
      <w:r>
        <w:rPr>
          <w:lang w:val="hi_IN" w:bidi="hi_IN"/>
        </w:rPr>
      </w:r>
      <w:r>
        <w:rPr>
          <w:lang w:val="hi_IN" w:bidi="hi_IN"/>
        </w:rPr>
        <w:t>पौलुस अपने पत्र का समापन अपने हाथ से लिखे एक परिशिष्ट के साथ करते हैं (</w:t>
      </w:r>
      <w:hyperlink r:id="rId51">
        <w:r>
          <w:rPr>
            <w:lang w:val="hi_IN" w:bidi="hi_IN"/>
          </w:rPr>
          <w:rPr>
            <w:color w:val="0000EE"/>
            <w:u w:val="single"/>
          </w:rPr>
          <w:t>6:11–18</w:t>
        </w:r>
      </w:hyperlink>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hyperlink r:id="rId52">
        <w:r>
          <w:rPr>
            <w:lang w:val="hi_IN" w:bidi="hi_IN"/>
          </w:rPr>
          <w:rPr>
            <w:color w:val="0000EE"/>
            <w:u w:val="single"/>
          </w:rPr>
          <w:t>प्रेरि 16:6</w:t>
        </w:r>
      </w:hyperlink>
      <w:r>
        <w:rPr>
          <w:lang w:val="hi_IN" w:bidi="hi_IN"/>
        </w:rPr>
        <w:t xml:space="preserve">; </w:t>
      </w:r>
      <w:hyperlink r:id="rId53">
        <w:r>
          <w:rPr>
            <w:lang w:val="hi_IN" w:bidi="hi_IN"/>
          </w:rPr>
          <w:rPr>
            <w:color w:val="0000EE"/>
            <w:u w:val="single"/>
          </w:rPr>
          <w:t>18:23</w:t>
        </w:r>
      </w:hyperlink>
      <w:r>
        <w:rPr>
          <w:lang w:val="hi_IN" w:bidi="hi_IN"/>
        </w:rPr>
        <w:t>), जबकि हमारे पास पौलुस की दक्षिणी रोमी प्रांत गलातिया में व्यापक और बार-बार सेवाकार्य गतिविधि का अभिलेख है (</w:t>
      </w:r>
      <w:hyperlink r:id="rId54">
        <w:r>
          <w:rPr>
            <w:lang w:val="hi_IN" w:bidi="hi_IN"/>
          </w:rPr>
          <w:rPr>
            <w:color w:val="0000EE"/>
            <w:u w:val="single"/>
          </w:rPr>
          <w:t>प्रेरि 13:13–14:25</w:t>
        </w:r>
      </w:hyperlink>
      <w:r>
        <w:rPr>
          <w:lang w:val="hi_IN" w:bidi="hi_IN"/>
        </w:rPr>
        <w:t xml:space="preserve">; </w:t>
      </w:r>
      <w:hyperlink r:id="rId55">
        <w:r>
          <w:rPr>
            <w:lang w:val="hi_IN" w:bidi="hi_IN"/>
          </w:rPr>
          <w:rPr>
            <w:color w:val="0000EE"/>
            <w:u w:val="single"/>
          </w:rPr>
          <w:t>16:1–5</w:t>
        </w:r>
      </w:hyperlink>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hyperlink r:id="rId56">
        <w:r>
          <w:rPr>
            <w:lang w:val="hi_IN" w:bidi="hi_IN"/>
          </w:rPr>
          <w:rPr>
            <w:color w:val="0000EE"/>
            <w:u w:val="single"/>
          </w:rPr>
          <w:t>प्रेरि 15:1–29</w:t>
        </w:r>
      </w:hyperlink>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hyperlink r:id="rId28">
        <w:r>
          <w:rPr>
            <w:lang w:val="hi_IN" w:bidi="hi_IN"/>
          </w:rPr>
          <w:rPr>
            <w:color w:val="0000EE"/>
            <w:u w:val="single"/>
          </w:rPr>
          <w:t>2:1–10</w:t>
        </w:r>
      </w:hyperlink>
      <w:r>
        <w:rPr>
          <w:lang w:val="hi_IN" w:bidi="hi_IN"/>
        </w:rPr>
        <w:t xml:space="preserve"> को यरूशलेम में पौलुस की महासभा के वर्णन के रूप में देखा है। हालांकि, करीबी जांच से </w:t>
      </w:r>
      <w:hyperlink r:id="rId57">
        <w:r>
          <w:rPr>
            <w:lang w:val="hi_IN" w:bidi="hi_IN"/>
          </w:rPr>
          <w:rPr>
            <w:color w:val="0000EE"/>
            <w:u w:val="single"/>
          </w:rPr>
          <w:t>अध्याय 2</w:t>
        </w:r>
      </w:hyperlink>
      <w:r>
        <w:rPr>
          <w:lang w:val="hi_IN" w:bidi="hi_IN"/>
        </w:rPr>
        <w:t xml:space="preserve"> और </w:t>
      </w:r>
      <w:hyperlink r:id="rId16">
        <w:r>
          <w:rPr>
            <w:lang w:val="hi_IN" w:bidi="hi_IN"/>
          </w:rPr>
          <w:rPr>
            <w:color w:val="0000EE"/>
            <w:u w:val="single"/>
          </w:rPr>
          <w:t>प्रेरि 15:1–41</w:t>
        </w:r>
      </w:hyperlink>
      <w:r>
        <w:rPr>
          <w:lang w:val="hi_IN" w:bidi="hi_IN"/>
        </w:rPr>
        <w:t xml:space="preserve"> के बीच गंभीर अंतर प्रकट होते हैं। पौलुस के यरूशलेम के दो दौरे (</w:t>
      </w:r>
      <w:hyperlink r:id="rId58">
        <w:r>
          <w:rPr>
            <w:lang w:val="hi_IN" w:bidi="hi_IN"/>
          </w:rPr>
          <w:rPr>
            <w:color w:val="0000EE"/>
            <w:u w:val="single"/>
          </w:rPr>
          <w:t>2:1</w:t>
        </w:r>
      </w:hyperlink>
      <w:r>
        <w:rPr>
          <w:lang w:val="hi_IN" w:bidi="hi_IN"/>
        </w:rPr>
        <w:t xml:space="preserve">) के विवरण को </w:t>
      </w:r>
      <w:hyperlink r:id="rId16">
        <w:r>
          <w:rPr>
            <w:lang w:val="hi_IN" w:bidi="hi_IN"/>
          </w:rPr>
          <w:rPr>
            <w:color w:val="0000EE"/>
            <w:u w:val="single"/>
          </w:rPr>
          <w:t>प्रेरि 15:1–41</w:t>
        </w:r>
      </w:hyperlink>
      <w:r>
        <w:rPr>
          <w:lang w:val="hi_IN" w:bidi="hi_IN"/>
        </w:rPr>
        <w:t xml:space="preserve"> में महासभा के उनके तीसरे दौरे के तथ्य के साथ जोड़कर समझना कठिन है। उनके दूसरे दौरे का उल्लेख न करना (</w:t>
      </w:r>
      <w:hyperlink r:id="rId59">
        <w:r>
          <w:rPr>
            <w:lang w:val="hi_IN" w:bidi="hi_IN"/>
          </w:rPr>
          <w:rPr>
            <w:color w:val="0000EE"/>
            <w:u w:val="single"/>
          </w:rPr>
          <w:t>प्रेरि 11:30</w:t>
        </w:r>
      </w:hyperlink>
      <w:r>
        <w:rPr>
          <w:lang w:val="hi_IN" w:bidi="hi_IN"/>
        </w:rPr>
        <w:t xml:space="preserve">; </w:t>
      </w:r>
      <w:hyperlink r:id="rId60">
        <w:r>
          <w:rPr>
            <w:lang w:val="hi_IN" w:bidi="hi_IN"/>
          </w:rPr>
          <w:rPr>
            <w:color w:val="0000EE"/>
            <w:u w:val="single"/>
          </w:rPr>
          <w:t>12:25</w:t>
        </w:r>
      </w:hyperlink>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1">
        <w:r>
          <w:rPr>
            <w:lang w:val="hi_IN" w:bidi="hi_IN"/>
          </w:rPr>
          <w:rPr>
            <w:color w:val="0000EE"/>
            <w:u w:val="single"/>
          </w:rPr>
          <w:t>प्रेरि 16:4</w:t>
        </w:r>
      </w:hyperlink>
      <w:r>
        <w:rPr>
          <w:lang w:val="hi_IN" w:bidi="hi_IN"/>
        </w:rPr>
        <w:t xml:space="preserve">)। इसलिए यह विश्वास करना कठिन है कि </w:t>
      </w:r>
      <w:hyperlink r:id="rId28">
        <w:r>
          <w:rPr>
            <w:lang w:val="hi_IN" w:bidi="hi_IN"/>
          </w:rPr>
          <w:rPr>
            <w:color w:val="0000EE"/>
            <w:u w:val="single"/>
          </w:rPr>
          <w:t>गलातियों 2:1–10,</w:t>
        </w:r>
      </w:hyperlink>
      <w:r>
        <w:rPr>
          <w:lang w:val="hi_IN" w:bidi="hi_IN"/>
        </w:rPr>
        <w:t xml:space="preserve"> </w:t>
      </w:r>
      <w:hyperlink r:id="rId16">
        <w:r>
          <w:rPr>
            <w:lang w:val="hi_IN" w:bidi="hi_IN"/>
          </w:rPr>
          <w:rPr>
            <w:color w:val="0000EE"/>
            <w:u w:val="single"/>
          </w:rPr>
          <w:t>प्रेरि 15:1–41</w:t>
        </w:r>
      </w:hyperlink>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hyperlink r:id="rId28">
        <w:r>
          <w:rPr>
            <w:lang w:val="hi_IN" w:bidi="hi_IN"/>
          </w:rPr>
          <w:rPr>
            <w:color w:val="0000EE"/>
            <w:u w:val="single"/>
          </w:rPr>
          <w:t>गलातियों 2:1–10</w:t>
        </w:r>
      </w:hyperlink>
      <w:r>
        <w:rPr>
          <w:lang w:val="hi_IN" w:bidi="hi_IN"/>
        </w:rPr>
        <w:t xml:space="preserve"> का वर्णन </w:t>
      </w:r>
      <w:hyperlink r:id="rId59">
        <w:r>
          <w:rPr>
            <w:lang w:val="hi_IN" w:bidi="hi_IN"/>
          </w:rPr>
          <w:rPr>
            <w:color w:val="0000EE"/>
            <w:u w:val="single"/>
          </w:rPr>
          <w:t>प्रेरि 11:30</w:t>
        </w:r>
      </w:hyperlink>
      <w:r>
        <w:rPr>
          <w:lang w:val="hi_IN" w:bidi="hi_IN"/>
        </w:rPr>
        <w:t xml:space="preserve"> और </w:t>
      </w:r>
      <w:hyperlink r:id="rId60">
        <w:r>
          <w:rPr>
            <w:lang w:val="hi_IN" w:bidi="hi_IN"/>
          </w:rPr>
          <w:rPr>
            <w:color w:val="0000EE"/>
            <w:u w:val="single"/>
          </w:rPr>
          <w:t>12:25</w:t>
        </w:r>
      </w:hyperlink>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2">
        <w:r>
          <w:rPr>
            <w:lang w:val="hi_IN" w:bidi="hi_IN"/>
          </w:rPr>
          <w:rPr>
            <w:color w:val="0000EE"/>
            <w:u w:val="single"/>
          </w:rPr>
          <w:t>प्रेरि 15:1–2</w:t>
        </w:r>
      </w:hyperlink>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