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w:t>
      </w:r>
      <w:r>
        <w:rPr>
          <w:lang w:val="pt_PT" w:bidi="pt_PT"/>
        </w:rPr>
      </w:r>
    </w:p>
    <w:p>
      <w:pPr/>
      <w:r>
        <w:rPr>
          <w:lang w:val="pt_PT" w:bidi="pt_PT"/>
        </w:rPr>
      </w:r>
      <w:r>
        <w:rPr>
          <w:lang w:val="pt_PT" w:bidi="pt_PT"/>
        </w:rP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2"/>
      </w:pPr>
      <w:r>
        <w:rPr>
          <w:lang w:val="pt_PT" w:bidi="pt_PT"/>
        </w:rPr>
        <w:t>Contexto</w:t>
      </w:r>
    </w:p>
    <w:p>
      <w:pPr/>
      <w:r>
        <w:rPr>
          <w:lang w:val="pt_PT" w:bidi="pt_PT"/>
        </w:rPr>
      </w:r>
      <w:r>
        <w:rPr>
          <w:lang w:val="pt_PT" w:bidi="pt_PT"/>
        </w:rP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hyperlink r:id="rId13">
        <w:r>
          <w:rPr>
            <w:lang w:val="pt_PT" w:bidi="pt_PT"/>
          </w:rPr>
          <w:rPr>
            <w:color w:val="0000EE"/>
            <w:u w:val="single"/>
          </w:rPr>
          <w:t>5.1–13</w:t>
        </w:r>
      </w:hyperlink>
      <w:r>
        <w:rPr>
          <w:lang w:val="pt_PT" w:bidi="pt_PT"/>
        </w:rPr>
        <w:t xml:space="preserve">; </w:t>
      </w:r>
      <w:hyperlink r:id="rId14">
        <w:r>
          <w:rPr>
            <w:lang w:val="pt_PT" w:bidi="pt_PT"/>
          </w:rPr>
          <w:rPr>
            <w:color w:val="0000EE"/>
            <w:u w:val="single"/>
          </w:rPr>
          <w:t>6.12–20</w:t>
        </w:r>
      </w:hyperlink>
      <w:r>
        <w:rPr>
          <w:lang w:val="pt_PT" w:bidi="pt_PT"/>
        </w:rPr>
        <w:t>).</w:t>
      </w:r>
    </w:p>
    <w:p>
      <w:pPr/>
      <w:r>
        <w:rPr>
          <w:lang w:val="pt_PT" w:bidi="pt_PT"/>
        </w:rPr>
      </w:r>
      <w:r>
        <w:rPr>
          <w:lang w:val="pt_PT" w:bidi="pt_PT"/>
        </w:rP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hyperlink r:id="rId15">
        <w:r>
          <w:rPr>
            <w:lang w:val="pt_PT" w:bidi="pt_PT"/>
          </w:rPr>
          <w:rPr>
            <w:color w:val="0000EE"/>
            <w:u w:val="single"/>
          </w:rPr>
          <w:t>1.10–12</w:t>
        </w:r>
      </w:hyperlink>
      <w:r>
        <w:rPr>
          <w:lang w:val="pt_PT" w:bidi="pt_PT"/>
        </w:rPr>
        <w:t xml:space="preserve">; </w:t>
      </w:r>
      <w:hyperlink r:id="rId16">
        <w:r>
          <w:rPr>
            <w:lang w:val="pt_PT" w:bidi="pt_PT"/>
          </w:rPr>
          <w:rPr>
            <w:color w:val="0000EE"/>
            <w:u w:val="single"/>
          </w:rPr>
          <w:t>3.1–4</w:t>
        </w:r>
      </w:hyperlink>
      <w:r>
        <w:rPr>
          <w:lang w:val="pt_PT" w:bidi="pt_PT"/>
        </w:rPr>
        <w:t>).</w:t>
      </w:r>
    </w:p>
    <w:p>
      <w:pPr/>
      <w:r>
        <w:rPr>
          <w:lang w:val="pt_PT" w:bidi="pt_PT"/>
        </w:rPr>
      </w:r>
      <w:r>
        <w:rPr>
          <w:lang w:val="pt_PT" w:bidi="pt_PT"/>
        </w:rP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hyperlink r:id="rId17">
        <w:r>
          <w:rPr>
            <w:lang w:val="pt_PT" w:bidi="pt_PT"/>
          </w:rPr>
          <w:rPr>
            <w:color w:val="0000EE"/>
            <w:u w:val="single"/>
          </w:rPr>
          <w:t>At 18.1–17</w:t>
        </w:r>
      </w:hyperlink>
      <w:r>
        <w:rPr>
          <w:lang w:val="pt_PT" w:bidi="pt_PT"/>
        </w:rPr>
        <w:t>). Quando os judeus o levaram ao tribunal por violar a lei, o governador Gálio rejeitou o caso porque era uma disputa religiosa. Com a liberdade para evangelizar, Paulo fez vários convertidos e iniciou uma igreja lá antes de partir.</w:t>
      </w:r>
    </w:p>
    <w:p>
      <w:pPr/>
      <w:r>
        <w:rPr>
          <w:lang w:val="pt_PT" w:bidi="pt_PT"/>
        </w:rPr>
      </w:r>
      <w:r>
        <w:rPr>
          <w:lang w:val="pt_PT" w:bidi="pt_PT"/>
        </w:rP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2"/>
      </w:pPr>
      <w:r>
        <w:rPr>
          <w:lang w:val="pt_PT" w:bidi="pt_PT"/>
        </w:rPr>
        <w:t>Sumário</w:t>
      </w:r>
    </w:p>
    <w:p>
      <w:pPr/>
      <w:r>
        <w:rPr>
          <w:lang w:val="pt_PT" w:bidi="pt_PT"/>
        </w:rPr>
      </w:r>
      <w:r>
        <w:rPr>
          <w:lang w:val="pt_PT" w:bidi="pt_PT"/>
        </w:rP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Pr>
          <w:lang w:val="pt_PT" w:bidi="pt_PT"/>
        </w:rPr>
      </w:r>
      <w:r>
        <w:rPr>
          <w:lang w:val="pt_PT" w:bidi="pt_PT"/>
        </w:rPr>
        <w:t>Crítica à abordagem não intelectual de Paulo para o evangelismo (</w:t>
      </w:r>
      <w:hyperlink r:id="rId18">
        <w:r>
          <w:rPr>
            <w:lang w:val="pt_PT" w:bidi="pt_PT"/>
          </w:rPr>
          <w:rPr>
            <w:color w:val="0000EE"/>
            <w:u w:val="single"/>
          </w:rPr>
          <w:t>1.1–4.21</w:t>
        </w:r>
      </w:hyperlink>
      <w:r>
        <w:rPr>
          <w:lang w:val="pt_PT" w:bidi="pt_PT"/>
        </w:rPr>
        <w:t>)</w:t>
      </w:r>
    </w:p>
    <w:p>
      <w:pPr>
        <w:pStyle w:val="ListBullet"/>
        <w:spacing w:line="240" w:lineRule="auto"/>
        <w:ind w:left="720"/>
      </w:pPr>
      <w:r>
        <w:rPr>
          <w:lang w:val="pt_PT" w:bidi="pt_PT"/>
        </w:rPr>
      </w:r>
      <w:r>
        <w:rPr>
          <w:lang w:val="pt_PT" w:bidi="pt_PT"/>
        </w:rPr>
        <w:t>Um caso flagrante de imoralidade sexual na igreja (</w:t>
      </w:r>
      <w:hyperlink r:id="rId13">
        <w:r>
          <w:rPr>
            <w:lang w:val="pt_PT" w:bidi="pt_PT"/>
          </w:rPr>
          <w:rPr>
            <w:color w:val="0000EE"/>
            <w:u w:val="single"/>
          </w:rPr>
          <w:t>5.1–13</w:t>
        </w:r>
      </w:hyperlink>
      <w:r>
        <w:rPr>
          <w:lang w:val="pt_PT" w:bidi="pt_PT"/>
        </w:rPr>
        <w:t>)</w:t>
      </w:r>
    </w:p>
    <w:p>
      <w:pPr>
        <w:pStyle w:val="ListBullet"/>
        <w:spacing w:line="240" w:lineRule="auto"/>
        <w:ind w:left="720"/>
      </w:pPr>
      <w:r>
        <w:rPr>
          <w:lang w:val="pt_PT" w:bidi="pt_PT"/>
        </w:rPr>
      </w:r>
      <w:r>
        <w:rPr>
          <w:lang w:val="pt_PT" w:bidi="pt_PT"/>
        </w:rPr>
        <w:t>A prática de levar companheiros de fé ao tribunal perante juízes pagãos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Problemas de imoralidade sexual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Perguntas sobre casamento, divórcio e permanecer solteiro (</w:t>
      </w:r>
      <w:hyperlink r:id="rId20">
        <w:r>
          <w:rPr>
            <w:lang w:val="pt_PT" w:bidi="pt_PT"/>
          </w:rPr>
          <w:rPr>
            <w:color w:val="0000EE"/>
            <w:u w:val="single"/>
          </w:rPr>
          <w:t>7.1–40</w:t>
        </w:r>
      </w:hyperlink>
      <w:r>
        <w:rPr>
          <w:lang w:val="pt_PT" w:bidi="pt_PT"/>
        </w:rPr>
        <w:t>)</w:t>
      </w:r>
    </w:p>
    <w:p>
      <w:pPr>
        <w:pStyle w:val="ListBullet"/>
        <w:spacing w:line="240" w:lineRule="auto"/>
        <w:ind w:left="720"/>
      </w:pPr>
      <w:r>
        <w:rPr>
          <w:lang w:val="pt_PT" w:bidi="pt_PT"/>
        </w:rPr>
      </w:r>
      <w:r>
        <w:rPr>
          <w:lang w:val="pt_PT" w:bidi="pt_PT"/>
        </w:rPr>
        <w:t>A questão de saber se os crentes estão autorizados a comer carne sacrificada a ídolos pagãos (</w:t>
      </w:r>
      <w:hyperlink r:id="rId21">
        <w:r>
          <w:rPr>
            <w:lang w:val="pt_PT" w:bidi="pt_PT"/>
          </w:rPr>
          <w:rPr>
            <w:color w:val="0000EE"/>
            <w:u w:val="single"/>
          </w:rPr>
          <w:t>8.1–10.33</w:t>
        </w:r>
      </w:hyperlink>
      <w:r>
        <w:rPr>
          <w:lang w:val="pt_PT" w:bidi="pt_PT"/>
        </w:rPr>
        <w:t>)</w:t>
      </w:r>
    </w:p>
    <w:p>
      <w:pPr>
        <w:pStyle w:val="ListBullet"/>
        <w:spacing w:line="240" w:lineRule="auto"/>
        <w:ind w:left="720"/>
      </w:pPr>
      <w:r>
        <w:rPr>
          <w:lang w:val="pt_PT" w:bidi="pt_PT"/>
        </w:rPr>
      </w:r>
      <w:r>
        <w:rPr>
          <w:lang w:val="pt_PT" w:bidi="pt_PT"/>
        </w:rPr>
        <w:t>A questão da vestimenta apropriada para mulheres que ministram publicamente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Comportamento irreverente e desrespeitoso ao receber a Ceia do Senhor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Perspectivas distorcidas sobre dons espirituais e sua prática (</w:t>
      </w:r>
      <w:hyperlink r:id="rId23">
        <w:r>
          <w:rPr>
            <w:lang w:val="pt_PT" w:bidi="pt_PT"/>
          </w:rPr>
          <w:rPr>
            <w:color w:val="0000EE"/>
            <w:u w:val="single"/>
          </w:rPr>
          <w:t>12.1–14.40</w:t>
        </w:r>
      </w:hyperlink>
      <w:r>
        <w:rPr>
          <w:lang w:val="pt_PT" w:bidi="pt_PT"/>
        </w:rPr>
        <w:t>)</w:t>
      </w:r>
    </w:p>
    <w:p>
      <w:pPr>
        <w:pStyle w:val="ListBullet"/>
        <w:spacing w:line="240" w:lineRule="auto"/>
        <w:ind w:left="720"/>
      </w:pPr>
      <w:r>
        <w:rPr>
          <w:lang w:val="pt_PT" w:bidi="pt_PT"/>
        </w:rPr>
      </w:r>
      <w:r>
        <w:rPr>
          <w:lang w:val="pt_PT" w:bidi="pt_PT"/>
        </w:rPr>
        <w:t>Ceticismo sobre uma futura ressurreição dos mortos (</w:t>
      </w:r>
      <w:hyperlink r:id="rId24">
        <w:r>
          <w:rPr>
            <w:lang w:val="pt_PT" w:bidi="pt_PT"/>
          </w:rPr>
          <w:rPr>
            <w:color w:val="0000EE"/>
            <w:u w:val="single"/>
          </w:rPr>
          <w:t>15.1–58</w:t>
        </w:r>
      </w:hyperlink>
      <w:r>
        <w:rPr>
          <w:lang w:val="pt_PT" w:bidi="pt_PT"/>
        </w:rPr>
        <w:t>)</w:t>
      </w:r>
    </w:p>
    <w:p>
      <w:pPr>
        <w:pStyle w:val="Heading2"/>
      </w:pPr>
      <w:r>
        <w:rPr>
          <w:lang w:val="pt_PT" w:bidi="pt_PT"/>
        </w:rPr>
        <w:t>Autoria</w:t>
      </w:r>
    </w:p>
    <w:p>
      <w:pPr/>
      <w:r>
        <w:rPr>
          <w:lang w:val="pt_PT" w:bidi="pt_PT"/>
        </w:rPr>
      </w:r>
      <w:r>
        <w:rPr>
          <w:lang w:val="pt_PT" w:bidi="pt_PT"/>
        </w:rPr>
        <w:t xml:space="preserve">Paulo é amplamente aceito como o autor de 1 Coríntios. Alguns, no entanto, questionam a autenticidade de </w:t>
      </w:r>
      <w:hyperlink r:id="rId25">
        <w:r>
          <w:rPr>
            <w:lang w:val="pt_PT" w:bidi="pt_PT"/>
          </w:rPr>
          <w:rPr>
            <w:color w:val="0000EE"/>
            <w:u w:val="single"/>
          </w:rPr>
          <w:t>14.34–35</w:t>
        </w:r>
      </w:hyperlink>
      <w:r>
        <w:rPr>
          <w:lang w:val="pt_PT" w:bidi="pt_PT"/>
        </w:rPr>
        <w:t xml:space="preserve"> (veja a nota de estudo lá). Em linha com a prática comum do mundo antigo, Paulo usou um amanuense (secretário) para fazer a escrita real da carta (veja </w:t>
      </w:r>
      <w:hyperlink r:id="rId26">
        <w:r>
          <w:rPr>
            <w:lang w:val="pt_PT" w:bidi="pt_PT"/>
          </w:rPr>
          <w:rPr>
            <w:color w:val="0000EE"/>
            <w:u w:val="single"/>
          </w:rPr>
          <w:t>16.21</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Esta carta à igreja de Corinto foi escrita durante a terceira viagem missionária de Paulo, durante sua estadia de dois a três anos em Éfeso (por volta de 53–56 d.C.; veja </w:t>
      </w:r>
      <w:hyperlink r:id="rId27">
        <w:r>
          <w:rPr>
            <w:lang w:val="pt_PT" w:bidi="pt_PT"/>
          </w:rPr>
          <w:rPr>
            <w:color w:val="0000EE"/>
            <w:u w:val="single"/>
          </w:rPr>
          <w:t>At 19.1–41</w:t>
        </w:r>
      </w:hyperlink>
      <w:r>
        <w:rPr>
          <w:lang w:val="pt_PT" w:bidi="pt_PT"/>
        </w:rPr>
        <w:t xml:space="preserve">). Paulo havia escrito uma carta anterior à igreja em Corinto (veja </w:t>
      </w:r>
      <w:hyperlink r:id="rId28">
        <w:r>
          <w:rPr>
            <w:lang w:val="pt_PT" w:bidi="pt_PT"/>
          </w:rPr>
          <w:rPr>
            <w:color w:val="0000EE"/>
            <w:u w:val="single"/>
          </w:rPr>
          <w:t>1Co 5.9</w:t>
        </w:r>
      </w:hyperlink>
      <w:r>
        <w:rPr>
          <w:lang w:val="pt_PT" w:bidi="pt_PT"/>
        </w:rPr>
        <w:t xml:space="preserve">), e os coríntios responderam, pedindo seu conselho sobre vários pontos (veja, por exemplo, </w:t>
      </w:r>
      <w:hyperlink r:id="rId29">
        <w:r>
          <w:rPr>
            <w:lang w:val="pt_PT" w:bidi="pt_PT"/>
          </w:rPr>
          <w:rPr>
            <w:color w:val="0000EE"/>
            <w:u w:val="single"/>
          </w:rPr>
          <w:t>7.1</w:t>
        </w:r>
      </w:hyperlink>
      <w:r>
        <w:rPr>
          <w:lang w:val="pt_PT" w:bidi="pt_PT"/>
        </w:rPr>
        <w:t xml:space="preserve">). Ele também havia recebido relatórios e visitantes de Corinto (veja </w:t>
      </w:r>
      <w:hyperlink r:id="rId30">
        <w:r>
          <w:rPr>
            <w:lang w:val="pt_PT" w:bidi="pt_PT"/>
          </w:rPr>
          <w:rPr>
            <w:color w:val="0000EE"/>
            <w:u w:val="single"/>
          </w:rPr>
          <w:t>1.11</w:t>
        </w:r>
      </w:hyperlink>
      <w:r>
        <w:rPr>
          <w:lang w:val="pt_PT" w:bidi="pt_PT"/>
        </w:rPr>
        <w:t xml:space="preserve">; </w:t>
      </w:r>
      <w:hyperlink r:id="rId31">
        <w:r>
          <w:rPr>
            <w:lang w:val="pt_PT" w:bidi="pt_PT"/>
          </w:rPr>
          <w:rPr>
            <w:color w:val="0000EE"/>
            <w:u w:val="single"/>
          </w:rPr>
          <w:t>16.15–17</w:t>
        </w:r>
      </w:hyperlink>
      <w:r>
        <w:rPr>
          <w:lang w:val="pt_PT" w:bidi="pt_PT"/>
        </w:rPr>
        <w:t xml:space="preserve">), tornando-o ciente de vários problemas enfrentados pela jovem igreja. Esta carta, cheia de conselhos sobre questões específicas, é sua resposta. Pode ter sido entregue por Estéfanas, Fortunato e Acaico (veja </w:t>
      </w:r>
      <w:hyperlink r:id="rId31">
        <w:r>
          <w:rPr>
            <w:lang w:val="pt_PT" w:bidi="pt_PT"/>
          </w:rPr>
          <w:rPr>
            <w:color w:val="0000EE"/>
            <w:u w:val="single"/>
          </w:rPr>
          <w:t>16.15–17</w:t>
        </w:r>
      </w:hyperlink>
      <w:r>
        <w:rPr>
          <w:lang w:val="pt_PT" w:bidi="pt_PT"/>
        </w:rPr>
        <w:t>) quando eles retornaram a Corinto.</w:t>
      </w:r>
    </w:p>
    <w:p>
      <w:pPr/>
      <w:r>
        <w:rPr>
          <w:lang w:val="pt_PT" w:bidi="pt_PT"/>
        </w:rPr>
      </w:r>
      <w:r>
        <w:rPr>
          <w:lang w:val="pt_PT" w:bidi="pt_PT"/>
        </w:rP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hyperlink r:id="rId32">
        <w:r>
          <w:rPr>
            <w:lang w:val="pt_PT" w:bidi="pt_PT"/>
          </w:rPr>
          <w:rPr>
            <w:color w:val="0000EE"/>
            <w:u w:val="single"/>
          </w:rPr>
          <w:t>2Co 2.1–11</w:t>
        </w:r>
      </w:hyperlink>
      <w:r>
        <w:rPr>
          <w:lang w:val="pt_PT" w:bidi="pt_PT"/>
        </w:rPr>
        <w:t xml:space="preserve">; </w:t>
      </w:r>
      <w:hyperlink r:id="rId33">
        <w:r>
          <w:rPr>
            <w:lang w:val="pt_PT" w:bidi="pt_PT"/>
          </w:rPr>
          <w:rPr>
            <w:color w:val="0000EE"/>
            <w:u w:val="single"/>
          </w:rPr>
          <w:t>7.8–10</w:t>
        </w:r>
      </w:hyperlink>
      <w:r>
        <w:rPr>
          <w:lang w:val="pt_PT" w:bidi="pt_PT"/>
        </w:rPr>
        <w:t xml:space="preserve">; </w:t>
      </w:r>
      <w:r>
        <w:rPr>
          <w:lang w:val="pt_PT" w:bidi="pt_PT"/>
        </w:rPr>
        <w:t>Introdução ao livro de 2 Coríntios, “Data e ocasião da redação”</w:t>
      </w:r>
      <w:r>
        <w:rPr>
          <w:lang w:val="pt_PT" w:bidi="pt_PT"/>
        </w:rPr>
        <w:t>).</w:t>
      </w:r>
    </w:p>
    <w:p>
      <w:pPr>
        <w:pStyle w:val="Heading2"/>
      </w:pPr>
      <w:r>
        <w:rPr>
          <w:lang w:val="pt_PT" w:bidi="pt_PT"/>
        </w:rPr>
        <w:t>Significado e mensagem</w:t>
      </w:r>
    </w:p>
    <w:p>
      <w:pPr/>
      <w:r>
        <w:rPr>
          <w:lang w:val="pt_PT" w:bidi="pt_PT"/>
        </w:rPr>
      </w:r>
      <w:r>
        <w:rPr>
          <w:lang w:val="pt_PT" w:bidi="pt_PT"/>
        </w:rPr>
        <w:t>Em 1 Coríntios, temos um vislumbre fascinante de como era a vida na igreja primitiva. Observamos alguns dos problemas práticos que os primeiros cristãos enfrentaram ao viver em um ambiente pagão e como lidaram com eles.</w:t>
      </w:r>
    </w:p>
    <w:p>
      <w:pPr/>
      <w:r>
        <w:rPr>
          <w:lang w:val="pt_PT" w:bidi="pt_PT"/>
        </w:rPr>
      </w:r>
      <w:r>
        <w:rPr>
          <w:lang w:val="pt_PT" w:bidi="pt_PT"/>
        </w:rP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pPr/>
      <w:r>
        <w:rPr>
          <w:lang w:val="pt_PT" w:bidi="pt_PT"/>
        </w:rPr>
      </w:r>
      <w:r>
        <w:rPr>
          <w:lang w:val="pt_PT" w:bidi="pt_PT"/>
        </w:rPr>
        <w:t>Então, por exemplo, quando Paulo aborda questões de moralidade sexual (</w:t>
      </w:r>
      <w:hyperlink r:id="rId34">
        <w:r>
          <w:rPr>
            <w:lang w:val="pt_PT" w:bidi="pt_PT"/>
          </w:rPr>
          <w:rPr>
            <w:color w:val="0000EE"/>
            <w:u w:val="single"/>
          </w:rPr>
          <w:t>5.1–6.20</w:t>
        </w:r>
      </w:hyperlink>
      <w:r>
        <w:rPr>
          <w:lang w:val="pt_PT" w:bidi="pt_PT"/>
        </w:rP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hyperlink r:id="rId35">
        <w:r>
          <w:rPr>
            <w:lang w:val="pt_PT" w:bidi="pt_PT"/>
          </w:rPr>
          <w:rPr>
            <w:color w:val="0000EE"/>
            <w:u w:val="single"/>
          </w:rPr>
          <w:t>6.15–20</w:t>
        </w:r>
      </w:hyperlink>
      <w:r>
        <w:rPr>
          <w:lang w:val="pt_PT" w:bidi="pt_PT"/>
        </w:rPr>
        <w:t>).</w:t>
      </w:r>
    </w:p>
    <w:p>
      <w:pPr/>
      <w:r>
        <w:rPr>
          <w:lang w:val="pt_PT" w:bidi="pt_PT"/>
        </w:rPr>
      </w:r>
      <w:r>
        <w:rPr>
          <w:lang w:val="pt_PT" w:bidi="pt_PT"/>
        </w:rPr>
        <w:t>Quando Paulo desencoraja os crentes de levarem uns aos outros aos tribunais pagãos (</w:t>
      </w:r>
      <w:hyperlink r:id="rId36">
        <w:r>
          <w:rPr>
            <w:lang w:val="pt_PT" w:bidi="pt_PT"/>
          </w:rPr>
          <w:rPr>
            <w:color w:val="0000EE"/>
            <w:u w:val="single"/>
          </w:rPr>
          <w:t>6.1–8</w:t>
        </w:r>
      </w:hyperlink>
      <w:r>
        <w:rPr>
          <w:lang w:val="pt_PT" w:bidi="pt_PT"/>
        </w:rPr>
        <w:t>), ele está em parte preocupado com o efeito sobre seu testemunho como cristãos. Ele os exorta a abrirem mão de seus direitos por amor aos outros, como Cristo fez. A morte de Cristo lhes ensinou que o amor cristão é sacrificial.</w:t>
      </w:r>
    </w:p>
    <w:p>
      <w:pPr/>
      <w:r>
        <w:rPr>
          <w:lang w:val="pt_PT" w:bidi="pt_PT"/>
        </w:rPr>
      </w:r>
      <w:r>
        <w:rPr>
          <w:lang w:val="pt_PT" w:bidi="pt_PT"/>
        </w:rPr>
        <w:t>Quando Paulo dá conselhos sobre casamento (</w:t>
      </w:r>
      <w:hyperlink r:id="rId20">
        <w:r>
          <w:rPr>
            <w:lang w:val="pt_PT" w:bidi="pt_PT"/>
          </w:rPr>
          <w:rPr>
            <w:color w:val="0000EE"/>
            <w:u w:val="single"/>
          </w:rPr>
          <w:t>7.1–40</w:t>
        </w:r>
      </w:hyperlink>
      <w:r>
        <w:rPr>
          <w:lang w:val="pt_PT" w:bidi="pt_PT"/>
        </w:rPr>
        <w:t>), ele incentiva aqueles que são solteiros nesse contexto a permanecerem solteiros para que possam se dedicar mais plenamente ao serviço de Cristo. Os cristãos pertencem a Cristo e não podem mais viver apenas para si mesmos.</w:t>
      </w:r>
    </w:p>
    <w:p>
      <w:pPr/>
      <w:r>
        <w:rPr>
          <w:lang w:val="pt_PT" w:bidi="pt_PT"/>
        </w:rPr>
      </w:r>
      <w:r>
        <w:rPr>
          <w:lang w:val="pt_PT" w:bidi="pt_PT"/>
        </w:rPr>
        <w:t>Quando ele aborda a liberdade dos crentes para comer carne sacrificada a ídolos pagãos (</w:t>
      </w:r>
      <w:hyperlink r:id="rId37">
        <w:r>
          <w:rPr>
            <w:lang w:val="pt_PT" w:bidi="pt_PT"/>
          </w:rPr>
          <w:rPr>
            <w:color w:val="0000EE"/>
            <w:u w:val="single"/>
          </w:rPr>
          <w:t>8.1–13</w:t>
        </w:r>
      </w:hyperlink>
      <w:r>
        <w:rPr>
          <w:lang w:val="pt_PT" w:bidi="pt_PT"/>
        </w:rPr>
        <w:t xml:space="preserve">; </w:t>
      </w:r>
      <w:hyperlink r:id="rId38">
        <w:r>
          <w:rPr>
            <w:lang w:val="pt_PT" w:bidi="pt_PT"/>
          </w:rPr>
          <w:rPr>
            <w:color w:val="0000EE"/>
            <w:u w:val="single"/>
          </w:rPr>
          <w:t>10.1–11.1</w:t>
        </w:r>
      </w:hyperlink>
      <w:r>
        <w:rPr>
          <w:lang w:val="pt_PT" w:bidi="pt_PT"/>
        </w:rP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pPr/>
      <w:r>
        <w:rPr>
          <w:lang w:val="pt_PT" w:bidi="pt_PT"/>
        </w:rPr>
      </w:r>
      <w:r>
        <w:rPr>
          <w:lang w:val="pt_PT" w:bidi="pt_PT"/>
        </w:rPr>
        <w:t xml:space="preserve">No pensamento de Paulo, o comportamento cristão é uma resposta de gratidão à misericórdia e graça de Deus, mostrada em Cristo e expressa nas boas-novas. Toda a vida do crente deve expressar devoção a Deus e amor pelos outros (veja </w:t>
      </w:r>
      <w:hyperlink r:id="rId39">
        <w:r>
          <w:rPr>
            <w:lang w:val="pt_PT" w:bidi="pt_PT"/>
          </w:rPr>
          <w:rPr>
            <w:color w:val="0000EE"/>
            <w:u w:val="single"/>
          </w:rPr>
          <w:t>10.31–33</w:t>
        </w:r>
      </w:hyperlink>
      <w:r>
        <w:rPr>
          <w:lang w:val="pt_PT" w:bidi="pt_PT"/>
        </w:rPr>
        <w:t>). Este é o equivalente de Paulo aos dois grandes mandamentos de amor de Jesus (</w:t>
      </w:r>
      <w:hyperlink r:id="rId40">
        <w:r>
          <w:rPr>
            <w:lang w:val="pt_PT" w:bidi="pt_PT"/>
          </w:rPr>
          <w:rPr>
            <w:color w:val="0000EE"/>
            <w:u w:val="single"/>
          </w:rPr>
          <w:t>Mateus 22.36–40</w:t>
        </w:r>
      </w:hyperlink>
      <w:r>
        <w:rPr>
          <w:lang w:val="pt_PT" w:bidi="pt_PT"/>
        </w:rPr>
        <w:t xml:space="preserve">; </w:t>
      </w:r>
      <w:hyperlink r:id="rId41">
        <w:r>
          <w:rPr>
            <w:lang w:val="pt_PT" w:bidi="pt_PT"/>
          </w:rPr>
          <w:rPr>
            <w:color w:val="0000EE"/>
            <w:u w:val="single"/>
          </w:rPr>
          <w:t>Lucas 10.25–37</w:t>
        </w:r>
      </w:hyperlink>
      <w:r>
        <w:rPr>
          <w:lang w:val="pt_PT" w:bidi="pt_PT"/>
        </w:rPr>
        <w:t>). Nesta carta, vemos mais claramente do que em outros lugares como Paulo aplica esses princípios duradouros a uma ampla gama de problemas práticos.</w:t>
      </w:r>
    </w:p>
    <w:p>
      <w:pPr/>
      <w:r>
        <w:rPr>
          <w:lang w:val="pt_PT" w:bidi="pt_PT"/>
        </w:rPr>
      </w:r>
      <w:r>
        <w:rPr>
          <w:lang w:val="pt_PT" w:bidi="pt_PT"/>
        </w:rPr>
        <w:t>Compreensão de Paulo sobre evangelismo. Quando Paulo é criticado por sua abordagem de evangelismo um tanto desajeitada e não intelectual (</w:t>
      </w:r>
      <w:hyperlink r:id="rId18">
        <w:r>
          <w:rPr>
            <w:lang w:val="pt_PT" w:bidi="pt_PT"/>
          </w:rPr>
          <w:rPr>
            <w:color w:val="0000EE"/>
            <w:u w:val="single"/>
          </w:rPr>
          <w:t>1Co 1.1–4.21</w:t>
        </w:r>
      </w:hyperlink>
      <w:r>
        <w:rPr>
          <w:lang w:val="pt_PT" w:bidi="pt_PT"/>
        </w:rP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pPr/>
      <w:r>
        <w:rPr>
          <w:lang w:val="pt_PT" w:bidi="pt_PT"/>
        </w:rPr>
      </w:r>
      <w:r>
        <w:rPr>
          <w:lang w:val="pt_PT" w:bidi="pt_PT"/>
        </w:rPr>
        <w:t xml:space="preserve">Unidade e amor na Igreja. A unidade entre os crentes é um tema importante ao longo desta carta, pois várias das questões que Paulo aborda aparentemente dividiram a igreja (veja </w:t>
      </w:r>
      <w:hyperlink r:id="rId42">
        <w:r>
          <w:rPr>
            <w:lang w:val="pt_PT" w:bidi="pt_PT"/>
          </w:rPr>
          <w:rPr>
            <w:color w:val="0000EE"/>
            <w:u w:val="single"/>
          </w:rPr>
          <w:t>1.10–4.21</w:t>
        </w:r>
      </w:hyperlink>
      <w:r>
        <w:rPr>
          <w:lang w:val="pt_PT" w:bidi="pt_PT"/>
        </w:rPr>
        <w:t xml:space="preserve">, facções na igreja; </w:t>
      </w:r>
      <w:hyperlink r:id="rId43">
        <w:r>
          <w:rPr>
            <w:lang w:val="pt_PT" w:bidi="pt_PT"/>
          </w:rPr>
          <w:rPr>
            <w:color w:val="0000EE"/>
            <w:u w:val="single"/>
          </w:rPr>
          <w:t>6.1–12</w:t>
        </w:r>
      </w:hyperlink>
      <w:r>
        <w:rPr>
          <w:lang w:val="pt_PT" w:bidi="pt_PT"/>
        </w:rPr>
        <w:t xml:space="preserve">, processos judiciais contra outros cristãos; </w:t>
      </w:r>
      <w:hyperlink r:id="rId44">
        <w:r>
          <w:rPr>
            <w:lang w:val="pt_PT" w:bidi="pt_PT"/>
          </w:rPr>
          <w:rPr>
            <w:color w:val="0000EE"/>
            <w:u w:val="single"/>
          </w:rPr>
          <w:t>8.1–11.1</w:t>
        </w:r>
      </w:hyperlink>
      <w:r>
        <w:rPr>
          <w:lang w:val="pt_PT" w:bidi="pt_PT"/>
        </w:rPr>
        <w:t xml:space="preserve">, diferentes opiniões sobre alimentos sacrificados a ídolos; </w:t>
      </w:r>
      <w:hyperlink r:id="rId45">
        <w:r>
          <w:rPr>
            <w:lang w:val="pt_PT" w:bidi="pt_PT"/>
          </w:rPr>
          <w:rPr>
            <w:color w:val="0000EE"/>
            <w:u w:val="single"/>
          </w:rPr>
          <w:t>11.2–16</w:t>
        </w:r>
      </w:hyperlink>
      <w:r>
        <w:rPr>
          <w:lang w:val="pt_PT" w:bidi="pt_PT"/>
        </w:rPr>
        <w:t xml:space="preserve">, diferentes opiniões sobre vestimenta apropriada para mulheres ministrando publicamente; </w:t>
      </w:r>
      <w:hyperlink r:id="rId46">
        <w:r>
          <w:rPr>
            <w:lang w:val="pt_PT" w:bidi="pt_PT"/>
          </w:rPr>
          <w:rPr>
            <w:color w:val="0000EE"/>
            <w:u w:val="single"/>
          </w:rPr>
          <w:t>11.17–34</w:t>
        </w:r>
      </w:hyperlink>
      <w:r>
        <w:rPr>
          <w:lang w:val="pt_PT" w:bidi="pt_PT"/>
        </w:rP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hyperlink r:id="rId47">
        <w:r>
          <w:rPr>
            <w:lang w:val="pt_PT" w:bidi="pt_PT"/>
          </w:rPr>
          <w:rPr>
            <w:color w:val="0000EE"/>
            <w:u w:val="single"/>
          </w:rPr>
          <w:t>13</w:t>
        </w:r>
      </w:hyperlink>
      <w:r>
        <w:rPr>
          <w:lang w:val="pt_PT" w:bidi="pt_PT"/>
        </w:rPr>
        <w:t>), destaca a importância de se relacionar com outros crentes em amor sacrificial, o tipo de amor demonstrado pelo próprio Cristo.</w:t>
      </w:r>
    </w:p>
    <w:p>
      <w:pPr/>
      <w:r>
        <w:rPr>
          <w:lang w:val="pt_PT" w:bidi="pt_PT"/>
        </w:rPr>
      </w:r>
      <w:r>
        <w:rPr>
          <w:lang w:val="pt_PT" w:bidi="pt_PT"/>
        </w:rPr>
        <w:t xml:space="preserve">Casamento, divórcio e a vida de solteiro. Paulo tem uma visão elevada do casamento e se opõe fortemente ao divórcio. Considerando o ambiente difícil para os cristãos no primeiro século e sua perspectiva sobre o retorno iminente de Cristo (veja </w:t>
      </w:r>
      <w:hyperlink r:id="rId48">
        <w:r>
          <w:rPr>
            <w:lang w:val="pt_PT" w:bidi="pt_PT"/>
          </w:rPr>
          <w:rPr>
            <w:color w:val="0000EE"/>
            <w:u w:val="single"/>
          </w:rPr>
          <w:t>7.25–31</w:t>
        </w:r>
      </w:hyperlink>
      <w:r>
        <w:rPr>
          <w:lang w:val="pt_PT" w:bidi="pt_PT"/>
        </w:rPr>
        <w:t xml:space="preserve">), Paulo encoraja aqueles que são solteiros a permanecerem assim, vendo a solteirice como uma oportunidade de se dedicar plenamente ao trabalho de Cristo no mundo (veja </w:t>
      </w:r>
      <w:hyperlink r:id="rId49">
        <w:r>
          <w:rPr>
            <w:lang w:val="pt_PT" w:bidi="pt_PT"/>
          </w:rPr>
          <w:rPr>
            <w:color w:val="0000EE"/>
            <w:u w:val="single"/>
          </w:rPr>
          <w:t>7.32–35</w:t>
        </w:r>
      </w:hyperlink>
      <w:r>
        <w:rPr>
          <w:lang w:val="pt_PT" w:bidi="pt_PT"/>
        </w:rPr>
        <w:t>). As duas formas de viver (casado e celibatário) não são fins em si mesmas, mas maneiras alternativas de participar do propósito mais importante de servir a Cristo.</w:t>
      </w:r>
    </w:p>
    <w:p>
      <w:pPr/>
      <w:r>
        <w:rPr>
          <w:lang w:val="pt_PT" w:bidi="pt_PT"/>
        </w:rPr>
      </w:r>
      <w:r>
        <w:rPr>
          <w:lang w:val="pt_PT" w:bidi="pt_PT"/>
        </w:rPr>
        <w:t xml:space="preserve">A Ceia do Senhor. Esta carta oferece uma visão significativa sobre a compreensão e prática cristã primitiva da Ceia do Senhor, apresentando o único tratamento extenso no Novo Testamento (caps. </w:t>
      </w:r>
      <w:hyperlink r:id="rId50">
        <w:r>
          <w:rPr>
            <w:lang w:val="pt_PT" w:bidi="pt_PT"/>
          </w:rPr>
          <w:rPr>
            <w:color w:val="0000EE"/>
            <w:u w:val="single"/>
          </w:rPr>
          <w:t>10–11</w:t>
        </w:r>
      </w:hyperlink>
      <w:r>
        <w:rPr>
          <w:lang w:val="pt_PT" w:bidi="pt_PT"/>
        </w:rPr>
        <w:t>).</w:t>
      </w:r>
    </w:p>
    <w:p>
      <w:pPr/>
      <w:r>
        <w:rPr>
          <w:lang w:val="pt_PT" w:bidi="pt_PT"/>
        </w:rPr>
      </w:r>
      <w:r>
        <w:rPr>
          <w:lang w:val="pt_PT" w:bidi="pt_PT"/>
        </w:rPr>
        <w:t xml:space="preserve">A Igreja como um corpo. Paulo vê a igreja como um corpo dinâmico, guiado pelo Espírito, composto por diferentes partes, cada uma com seu próprio trabalho único a realizar (caps. </w:t>
      </w:r>
      <w:hyperlink r:id="rId51">
        <w:r>
          <w:rPr>
            <w:lang w:val="pt_PT" w:bidi="pt_PT"/>
          </w:rPr>
          <w:rPr>
            <w:color w:val="0000EE"/>
            <w:u w:val="single"/>
          </w:rPr>
          <w:t>12</w:t>
        </w:r>
      </w:hyperlink>
      <w:r>
        <w:rPr>
          <w:lang w:val="pt_PT" w:bidi="pt_PT"/>
        </w:rPr>
        <w:t xml:space="preserve">, </w:t>
      </w:r>
      <w:hyperlink r:id="rId52">
        <w:r>
          <w:rPr>
            <w:lang w:val="pt_PT" w:bidi="pt_PT"/>
          </w:rPr>
          <w:rPr>
            <w:color w:val="0000EE"/>
            <w:u w:val="single"/>
          </w:rPr>
          <w:t>14</w:t>
        </w:r>
      </w:hyperlink>
      <w:r>
        <w:rPr>
          <w:lang w:val="pt_PT" w:bidi="pt_PT"/>
        </w:rPr>
        <w:t>). Nestes primeiros dias do movimento cristão, não há distinção entre clero e leigos, mas os diferentes papéis criam um ministério complementar dos dons do Espírito quando os cristãos se reúnem. Cada pessoa tem um papel a desempenhar na edificação do corpo, e os indivíduos dependem do Espírito para capacitá-los e guiá-los em seus ministérios.</w:t>
      </w:r>
    </w:p>
    <w:p>
      <w:pPr/>
      <w:r>
        <w:rPr>
          <w:lang w:val="pt_PT" w:bidi="pt_PT"/>
        </w:rPr>
      </w:r>
      <w:r>
        <w:rPr>
          <w:lang w:val="pt_PT" w:bidi="pt_PT"/>
        </w:rPr>
        <w:t xml:space="preserve">A ressurreição. Entre os escritos do Novo Testamento, esta carta nos oferece a discussão mais completa sobre a ressurreição (cap. </w:t>
      </w:r>
      <w:hyperlink r:id="rId24">
        <w:r>
          <w:rPr>
            <w:lang w:val="pt_PT" w:bidi="pt_PT"/>
          </w:rPr>
          <w:rPr>
            <w:color w:val="0000EE"/>
            <w:u w:val="single"/>
          </w:rPr>
          <w:t>15</w:t>
        </w:r>
      </w:hyperlink>
      <w:r>
        <w:rPr>
          <w:lang w:val="pt_PT" w:bidi="pt_PT"/>
        </w:rPr>
        <w:t>), incluindo o relato mais detalhado daqueles que viram Jesus ressuscitado, a justificativa para uma ressurreição futura e a natureza dos corpos ressuscitados.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